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13D5" w14:textId="037EB7D8" w:rsidR="00D54C6D" w:rsidRDefault="00D54C6D" w:rsidP="001F2081">
      <w:pPr>
        <w:spacing w:before="100" w:beforeAutospacing="1" w:after="100" w:afterAutospacing="1" w:line="240" w:lineRule="auto"/>
        <w:jc w:val="center"/>
        <w:rPr>
          <w:rFonts w:ascii="Times New Roman" w:eastAsia="Times New Roman" w:hAnsi="Times New Roman" w:cs="Times New Roman"/>
          <w:b/>
          <w:bCs/>
          <w:rtl/>
        </w:rPr>
      </w:pPr>
      <w:r w:rsidRPr="00D54C6D">
        <w:rPr>
          <w:rFonts w:ascii="Times New Roman" w:eastAsia="Times New Roman" w:hAnsi="Times New Roman" w:cs="Times New Roman" w:hint="cs"/>
          <w:b/>
          <w:bCs/>
          <w:rtl/>
        </w:rPr>
        <w:t>باسمه تعالی</w:t>
      </w:r>
      <w:r>
        <w:rPr>
          <w:rFonts w:ascii="Times New Roman" w:eastAsia="Times New Roman" w:hAnsi="Times New Roman" w:cs="Times New Roman" w:hint="cs"/>
          <w:b/>
          <w:bCs/>
          <w:rtl/>
        </w:rPr>
        <w:t xml:space="preserve">  </w:t>
      </w:r>
    </w:p>
    <w:p w14:paraId="3E71A990" w14:textId="77777777" w:rsidR="00D54C6D" w:rsidRPr="00D54C6D" w:rsidRDefault="00D54C6D" w:rsidP="001F2081">
      <w:pPr>
        <w:spacing w:before="100" w:beforeAutospacing="1" w:after="100" w:afterAutospacing="1" w:line="240" w:lineRule="auto"/>
        <w:jc w:val="center"/>
        <w:rPr>
          <w:rFonts w:ascii="Times New Roman" w:eastAsia="Times New Roman" w:hAnsi="Times New Roman" w:cs="Times New Roman"/>
          <w:b/>
          <w:bCs/>
          <w:rtl/>
        </w:rPr>
      </w:pPr>
    </w:p>
    <w:p w14:paraId="24641977" w14:textId="74997C0E"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 xml:space="preserve">السلام علیکم ورحمة الله </w:t>
      </w:r>
    </w:p>
    <w:p w14:paraId="4369F344" w14:textId="1D62E112"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 xml:space="preserve">وفقا للتعدیلات المطلوبه من قبل لجنة التحکیم </w:t>
      </w:r>
    </w:p>
    <w:p w14:paraId="2C29EF60" w14:textId="19AC344A"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 xml:space="preserve">قمت بتعدیل بعض الاخطاء اللغویة الطفیفة التی تمت الاشارة الیها بالنص أیضا </w:t>
      </w:r>
    </w:p>
    <w:p w14:paraId="65700F03" w14:textId="770A32D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 xml:space="preserve">قمت بذکر مصدر یشیر الی المسرحیة ولونته أیضا </w:t>
      </w:r>
    </w:p>
    <w:p w14:paraId="79B6456A" w14:textId="2982D70D"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قمت بإضافة ال</w:t>
      </w:r>
      <w:r w:rsidR="00D54C6D">
        <w:rPr>
          <w:rFonts w:ascii="Times New Roman" w:eastAsia="Times New Roman" w:hAnsi="Times New Roman" w:cs="Times New Roman" w:hint="cs"/>
          <w:b/>
          <w:bCs/>
          <w:rtl/>
        </w:rPr>
        <w:t>إ</w:t>
      </w:r>
      <w:r>
        <w:rPr>
          <w:rFonts w:ascii="Times New Roman" w:eastAsia="Times New Roman" w:hAnsi="Times New Roman" w:cs="Times New Roman" w:hint="cs"/>
          <w:b/>
          <w:bCs/>
          <w:rtl/>
        </w:rPr>
        <w:t xml:space="preserve">حالات والمنابع العلمیة في قسم النظری والتحلیلی </w:t>
      </w:r>
    </w:p>
    <w:p w14:paraId="782CAC77" w14:textId="44B7ED28"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r>
        <w:rPr>
          <w:rFonts w:ascii="Times New Roman" w:eastAsia="Times New Roman" w:hAnsi="Times New Roman" w:cs="Times New Roman" w:hint="cs"/>
          <w:b/>
          <w:bCs/>
          <w:rtl/>
        </w:rPr>
        <w:t xml:space="preserve">قمت </w:t>
      </w:r>
      <w:r w:rsidR="00D54C6D">
        <w:rPr>
          <w:rFonts w:ascii="Times New Roman" w:eastAsia="Times New Roman" w:hAnsi="Times New Roman" w:cs="Times New Roman" w:hint="cs"/>
          <w:b/>
          <w:bCs/>
          <w:rtl/>
        </w:rPr>
        <w:t>بکتابة</w:t>
      </w:r>
      <w:r>
        <w:rPr>
          <w:rFonts w:ascii="Times New Roman" w:eastAsia="Times New Roman" w:hAnsi="Times New Roman" w:cs="Times New Roman" w:hint="cs"/>
          <w:b/>
          <w:bCs/>
          <w:rtl/>
        </w:rPr>
        <w:t xml:space="preserve"> أهم ماتطرقت</w:t>
      </w:r>
      <w:r w:rsidR="00D54C6D">
        <w:rPr>
          <w:rFonts w:ascii="Times New Roman" w:eastAsia="Times New Roman" w:hAnsi="Times New Roman" w:cs="Times New Roman" w:hint="cs"/>
          <w:b/>
          <w:bCs/>
          <w:rtl/>
        </w:rPr>
        <w:t xml:space="preserve"> إلیه </w:t>
      </w:r>
      <w:r>
        <w:rPr>
          <w:rFonts w:ascii="Times New Roman" w:eastAsia="Times New Roman" w:hAnsi="Times New Roman" w:cs="Times New Roman" w:hint="cs"/>
          <w:b/>
          <w:bCs/>
          <w:rtl/>
        </w:rPr>
        <w:t>هذه المقالة (النتائج )</w:t>
      </w:r>
    </w:p>
    <w:p w14:paraId="705F1762"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2579CDCC"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35D746D7"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19CD1876"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0BC01B88"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150E42D3"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5BFB5762"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3BAD8D39"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4CB76591"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2E298408"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666EAD2D"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031BC67A"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3849A434"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6A3A39E5"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16FDD632" w14:textId="77777777" w:rsidR="001F2081" w:rsidRDefault="001F2081" w:rsidP="001F2081">
      <w:pPr>
        <w:spacing w:before="100" w:beforeAutospacing="1" w:after="100" w:afterAutospacing="1" w:line="240" w:lineRule="auto"/>
        <w:rPr>
          <w:rFonts w:ascii="Times New Roman" w:eastAsia="Times New Roman" w:hAnsi="Times New Roman" w:cs="Times New Roman"/>
          <w:b/>
          <w:bCs/>
          <w:rtl/>
        </w:rPr>
      </w:pPr>
    </w:p>
    <w:p w14:paraId="48830B9A" w14:textId="77777777" w:rsidR="001F2081" w:rsidRPr="001F2081" w:rsidRDefault="001F2081" w:rsidP="001F2081">
      <w:pPr>
        <w:spacing w:before="100" w:beforeAutospacing="1" w:after="100" w:afterAutospacing="1" w:line="240" w:lineRule="auto"/>
        <w:jc w:val="center"/>
        <w:rPr>
          <w:rFonts w:ascii="Times New Roman" w:eastAsia="Times New Roman" w:hAnsi="Times New Roman" w:cs="Times New Roman"/>
          <w:b/>
          <w:bCs/>
        </w:rPr>
      </w:pPr>
      <w:r w:rsidRPr="001F2081">
        <w:rPr>
          <w:rFonts w:ascii="Times New Roman" w:eastAsia="Times New Roman" w:hAnsi="Times New Roman" w:cs="Times New Roman"/>
          <w:b/>
          <w:bCs/>
        </w:rPr>
        <w:t xml:space="preserve">An Analysis of Linguistic Functions in Abd al-Rahman Al-Sharqawi’s Play </w:t>
      </w:r>
      <w:r w:rsidRPr="001F2081">
        <w:rPr>
          <w:rFonts w:ascii="Times New Roman" w:eastAsia="Times New Roman" w:hAnsi="Times New Roman" w:cs="Times New Roman"/>
          <w:b/>
          <w:bCs/>
          <w:i/>
          <w:iCs/>
        </w:rPr>
        <w:t>Al-Husayn Thaʾiran (Husayn the Revolutionary)</w:t>
      </w:r>
      <w:r w:rsidRPr="001F2081">
        <w:rPr>
          <w:rFonts w:ascii="Times New Roman" w:eastAsia="Times New Roman" w:hAnsi="Times New Roman" w:cs="Times New Roman"/>
          <w:b/>
          <w:bCs/>
        </w:rPr>
        <w:t xml:space="preserve"> in Light of Roman Jakobson’s Communication Theory</w:t>
      </w:r>
    </w:p>
    <w:p w14:paraId="6660DD0C" w14:textId="76015248" w:rsidR="001F2081" w:rsidRPr="001F2081" w:rsidRDefault="001F2081" w:rsidP="001F2081">
      <w:pPr>
        <w:spacing w:before="100" w:beforeAutospacing="1" w:after="100" w:afterAutospacing="1" w:line="240" w:lineRule="auto"/>
        <w:jc w:val="center"/>
        <w:rPr>
          <w:rFonts w:ascii="Times New Roman" w:eastAsia="Times New Roman" w:hAnsi="Times New Roman" w:cs="Times New Roman"/>
          <w:b/>
          <w:bCs/>
          <w:vertAlign w:val="superscript"/>
        </w:rPr>
      </w:pPr>
      <w:r w:rsidRPr="001F2081">
        <w:rPr>
          <w:rFonts w:ascii="Times New Roman" w:eastAsia="Times New Roman" w:hAnsi="Times New Roman" w:cs="Times New Roman"/>
          <w:b/>
          <w:bCs/>
        </w:rPr>
        <w:t>Javad saoudon zadeh</w:t>
      </w:r>
      <w:r w:rsidRPr="001F2081">
        <w:rPr>
          <w:rFonts w:ascii="Times New Roman" w:eastAsia="Times New Roman" w:hAnsi="Times New Roman" w:cs="Times New Roman"/>
          <w:b/>
          <w:bCs/>
        </w:rPr>
        <w:drawing>
          <wp:inline distT="0" distB="0" distL="0" distR="0" wp14:anchorId="792CDAAC" wp14:editId="21006F76">
            <wp:extent cx="137160" cy="137160"/>
            <wp:effectExtent l="0" t="0" r="0" b="0"/>
            <wp:docPr id="590330458" name="Picture 7" descr="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F2081">
        <w:rPr>
          <w:rFonts w:ascii="Times New Roman" w:eastAsia="Times New Roman" w:hAnsi="Times New Roman" w:cs="Times New Roman"/>
          <w:b/>
          <w:bCs/>
          <w:vertAlign w:val="superscript"/>
          <w:lang w:val="fr-FR"/>
        </w:rPr>
        <w:sym w:font="Wingdings" w:char="F02A"/>
      </w:r>
      <w:r w:rsidRPr="001F2081">
        <w:rPr>
          <w:rFonts w:ascii="Times New Roman" w:eastAsia="Times New Roman" w:hAnsi="Times New Roman" w:cs="Times New Roman"/>
          <w:b/>
          <w:bCs/>
          <w:vertAlign w:val="superscript"/>
        </w:rPr>
        <w:t>1</w:t>
      </w:r>
      <w:r w:rsidRPr="001F2081">
        <w:rPr>
          <w:rFonts w:ascii="Times New Roman" w:eastAsia="Times New Roman" w:hAnsi="Times New Roman" w:cs="Times New Roman"/>
          <w:b/>
          <w:bCs/>
        </w:rPr>
        <w:t xml:space="preserve">,   Naeim Amouri </w:t>
      </w:r>
      <w:r w:rsidRPr="001F2081">
        <w:rPr>
          <w:rFonts w:ascii="Times New Roman" w:eastAsia="Times New Roman" w:hAnsi="Times New Roman" w:cs="Times New Roman"/>
          <w:b/>
          <w:bCs/>
        </w:rPr>
        <w:drawing>
          <wp:inline distT="0" distB="0" distL="0" distR="0" wp14:anchorId="48CDF983" wp14:editId="4E7C6A26">
            <wp:extent cx="137160" cy="137160"/>
            <wp:effectExtent l="0" t="0" r="0" b="0"/>
            <wp:docPr id="260502690" name="Picture 6" descr="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F2081">
        <w:rPr>
          <w:rFonts w:ascii="Times New Roman" w:eastAsia="Times New Roman" w:hAnsi="Times New Roman" w:cs="Times New Roman"/>
          <w:b/>
          <w:bCs/>
        </w:rPr>
        <w:t xml:space="preserve"> </w:t>
      </w:r>
      <w:r w:rsidRPr="001F2081">
        <w:rPr>
          <w:rFonts w:ascii="Times New Roman" w:eastAsia="Times New Roman" w:hAnsi="Times New Roman" w:cs="Times New Roman"/>
          <w:b/>
          <w:bCs/>
          <w:vertAlign w:val="superscript"/>
        </w:rPr>
        <w:t xml:space="preserve">2      </w:t>
      </w:r>
      <w:r w:rsidRPr="001F2081">
        <w:rPr>
          <w:rFonts w:ascii="Times New Roman" w:eastAsia="Times New Roman" w:hAnsi="Times New Roman" w:cs="Times New Roman"/>
          <w:b/>
          <w:bCs/>
        </w:rPr>
        <w:t>Hamed shemshavi</w:t>
      </w:r>
      <w:r w:rsidRPr="001F2081">
        <w:rPr>
          <w:rFonts w:ascii="Times New Roman" w:eastAsia="Times New Roman" w:hAnsi="Times New Roman" w:cs="Times New Roman"/>
          <w:b/>
          <w:bCs/>
          <w:vertAlign w:val="superscript"/>
        </w:rPr>
        <w:t>3</w:t>
      </w:r>
      <w:r w:rsidRPr="001F2081">
        <w:rPr>
          <w:rFonts w:ascii="Times New Roman" w:eastAsia="Times New Roman" w:hAnsi="Times New Roman" w:cs="Times New Roman"/>
          <w:b/>
          <w:bCs/>
        </w:rPr>
        <w:drawing>
          <wp:inline distT="0" distB="0" distL="0" distR="0" wp14:anchorId="7775A3A8" wp14:editId="7714571E">
            <wp:extent cx="152400" cy="152400"/>
            <wp:effectExtent l="0" t="0" r="0" b="0"/>
            <wp:docPr id="412745764" name="Picture 5" descr="http://jorjanijournal.goums.ac.ir/files/0allsites/images/orc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jorjanijournal.goums.ac.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081">
        <w:rPr>
          <w:rFonts w:ascii="Times New Roman" w:eastAsia="Times New Roman" w:hAnsi="Times New Roman" w:cs="Times New Roman"/>
          <w:b/>
          <w:bCs/>
        </w:rPr>
        <w:t xml:space="preserve">                          </w:t>
      </w:r>
    </w:p>
    <w:p w14:paraId="2D0D07DA" w14:textId="77777777" w:rsidR="001F2081" w:rsidRPr="001F2081" w:rsidRDefault="001F2081" w:rsidP="001F2081">
      <w:pPr>
        <w:numPr>
          <w:ilvl w:val="0"/>
          <w:numId w:val="16"/>
        </w:numPr>
        <w:spacing w:before="100" w:beforeAutospacing="1" w:after="100" w:afterAutospacing="1" w:line="240" w:lineRule="auto"/>
        <w:jc w:val="center"/>
        <w:rPr>
          <w:rFonts w:ascii="Times New Roman" w:eastAsia="Times New Roman" w:hAnsi="Times New Roman" w:cs="Times New Roman"/>
          <w:b/>
          <w:bCs/>
          <w:rtl/>
        </w:rPr>
      </w:pPr>
      <w:r w:rsidRPr="001F2081">
        <w:rPr>
          <w:rFonts w:ascii="Times New Roman" w:eastAsia="Times New Roman" w:hAnsi="Times New Roman" w:cs="Times New Roman"/>
          <w:b/>
          <w:bCs/>
        </w:rPr>
        <w:t>(Responsible writer) (Professor</w:t>
      </w:r>
      <w:r w:rsidRPr="001F2081">
        <w:rPr>
          <w:rFonts w:ascii="Times New Roman" w:eastAsia="Times New Roman" w:hAnsi="Times New Roman" w:cs="Times New Roman" w:hint="cs"/>
          <w:b/>
          <w:bCs/>
          <w:rtl/>
        </w:rPr>
        <w:t>(</w:t>
      </w:r>
      <w:r w:rsidRPr="001F2081">
        <w:rPr>
          <w:rFonts w:ascii="Times New Roman" w:eastAsia="Times New Roman" w:hAnsi="Times New Roman" w:cs="Times New Roman"/>
          <w:b/>
          <w:bCs/>
        </w:rPr>
        <w:t xml:space="preserve"> of the entire Arabic Language and Literature Department</w:t>
      </w:r>
      <w:r w:rsidRPr="001F2081">
        <w:rPr>
          <w:rFonts w:ascii="Times New Roman" w:eastAsia="Times New Roman" w:hAnsi="Times New Roman" w:cs="Times New Roman" w:hint="cs"/>
          <w:b/>
          <w:bCs/>
          <w:rtl/>
        </w:rPr>
        <w:t>،</w:t>
      </w:r>
      <w:r w:rsidRPr="001F2081">
        <w:rPr>
          <w:rFonts w:ascii="Times New Roman" w:eastAsia="Times New Roman" w:hAnsi="Times New Roman" w:cs="Times New Roman"/>
          <w:b/>
          <w:bCs/>
        </w:rPr>
        <w:t xml:space="preserve">Shahid Chamran University of Ahvaz, Ahvaz, Iran. </w:t>
      </w:r>
      <w:hyperlink r:id="rId11" w:tgtFrame="_blank" w:history="1">
        <w:r w:rsidRPr="001F2081">
          <w:rPr>
            <w:rStyle w:val="Hyperlink"/>
            <w:rFonts w:ascii="Times New Roman" w:eastAsia="Times New Roman" w:hAnsi="Times New Roman" w:cs="Times New Roman"/>
            <w:b/>
            <w:bCs/>
          </w:rPr>
          <w:t>(J.sadounzadeh@scu.ac.ir</w:t>
        </w:r>
      </w:hyperlink>
      <w:r w:rsidRPr="001F2081">
        <w:rPr>
          <w:rFonts w:ascii="Times New Roman" w:eastAsia="Times New Roman" w:hAnsi="Times New Roman" w:cs="Times New Roman"/>
          <w:b/>
          <w:bCs/>
        </w:rPr>
        <w:t>)</w:t>
      </w:r>
    </w:p>
    <w:p w14:paraId="67F2FEA6" w14:textId="77777777" w:rsidR="001F2081" w:rsidRDefault="001F2081" w:rsidP="001F2081">
      <w:pPr>
        <w:numPr>
          <w:ilvl w:val="0"/>
          <w:numId w:val="16"/>
        </w:numPr>
        <w:spacing w:before="100" w:beforeAutospacing="1" w:after="100" w:afterAutospacing="1" w:line="240" w:lineRule="auto"/>
        <w:jc w:val="center"/>
        <w:rPr>
          <w:rFonts w:ascii="Times New Roman" w:eastAsia="Times New Roman" w:hAnsi="Times New Roman" w:cs="Times New Roman"/>
          <w:b/>
          <w:bCs/>
        </w:rPr>
      </w:pPr>
      <w:r w:rsidRPr="001F2081">
        <w:rPr>
          <w:rFonts w:ascii="Times New Roman" w:eastAsia="Times New Roman" w:hAnsi="Times New Roman" w:cs="Times New Roman"/>
          <w:b/>
          <w:bCs/>
        </w:rPr>
        <w:t xml:space="preserve"> (Professor</w:t>
      </w:r>
      <w:r w:rsidRPr="001F2081">
        <w:rPr>
          <w:rFonts w:ascii="Times New Roman" w:eastAsia="Times New Roman" w:hAnsi="Times New Roman" w:cs="Times New Roman" w:hint="cs"/>
          <w:b/>
          <w:bCs/>
          <w:rtl/>
        </w:rPr>
        <w:t>(</w:t>
      </w:r>
      <w:r w:rsidRPr="001F2081">
        <w:rPr>
          <w:rFonts w:ascii="Times New Roman" w:eastAsia="Times New Roman" w:hAnsi="Times New Roman" w:cs="Times New Roman"/>
          <w:b/>
          <w:bCs/>
        </w:rPr>
        <w:t xml:space="preserve"> of the entire Arabic Language and Literature Department</w:t>
      </w:r>
      <w:r w:rsidRPr="001F2081">
        <w:rPr>
          <w:rFonts w:ascii="Times New Roman" w:eastAsia="Times New Roman" w:hAnsi="Times New Roman" w:cs="Times New Roman" w:hint="cs"/>
          <w:b/>
          <w:bCs/>
          <w:rtl/>
        </w:rPr>
        <w:t>،</w:t>
      </w:r>
      <w:r w:rsidRPr="001F2081">
        <w:rPr>
          <w:rFonts w:ascii="Times New Roman" w:eastAsia="Times New Roman" w:hAnsi="Times New Roman" w:cs="Times New Roman"/>
          <w:b/>
          <w:bCs/>
        </w:rPr>
        <w:t>Shahid Chamran University of Ahvaz, Ahvaz, Iran. (</w:t>
      </w:r>
      <w:hyperlink r:id="rId12" w:tgtFrame="_blank" w:history="1">
        <w:r w:rsidRPr="001F2081">
          <w:rPr>
            <w:rStyle w:val="Hyperlink"/>
            <w:rFonts w:ascii="Times New Roman" w:eastAsia="Times New Roman" w:hAnsi="Times New Roman" w:cs="Times New Roman"/>
            <w:b/>
            <w:bCs/>
          </w:rPr>
          <w:t>n.amouri@scu.ac.ir</w:t>
        </w:r>
      </w:hyperlink>
      <w:r w:rsidRPr="001F2081">
        <w:rPr>
          <w:rFonts w:ascii="Times New Roman" w:eastAsia="Times New Roman" w:hAnsi="Times New Roman" w:cs="Times New Roman"/>
          <w:b/>
          <w:bCs/>
        </w:rPr>
        <w:t>)</w:t>
      </w:r>
    </w:p>
    <w:p w14:paraId="06285834" w14:textId="77777777" w:rsidR="00D54C6D" w:rsidRDefault="00D54C6D" w:rsidP="00D54C6D">
      <w:pPr>
        <w:pStyle w:val="ListParagraph"/>
        <w:numPr>
          <w:ilvl w:val="0"/>
          <w:numId w:val="16"/>
        </w:numPr>
        <w:spacing w:before="100" w:beforeAutospacing="1" w:after="100" w:afterAutospacing="1"/>
        <w:jc w:val="center"/>
        <w:rPr>
          <w:rFonts w:ascii="Times New Roman" w:eastAsia="Times New Roman" w:hAnsi="Times New Roman" w:cs="Times New Roman"/>
          <w:b/>
          <w:bCs/>
        </w:rPr>
      </w:pPr>
      <w:r w:rsidRPr="00D54C6D">
        <w:rPr>
          <w:rFonts w:ascii="Times New Roman" w:eastAsia="Times New Roman" w:hAnsi="Times New Roman" w:cs="Times New Roman"/>
          <w:b/>
          <w:bCs/>
        </w:rPr>
        <w:t>Master's degree in Arabic Language and LiteratureShahid Chamran University of Ahvaz, Ahvaz, Iran.</w:t>
      </w:r>
      <w:r w:rsidRPr="00D54C6D">
        <w:rPr>
          <w:rFonts w:ascii="Times New Roman" w:eastAsia="Times New Roman" w:hAnsi="Times New Roman" w:cs="Times New Roman" w:hint="cs"/>
          <w:b/>
          <w:bCs/>
          <w:rtl/>
        </w:rPr>
        <w:t xml:space="preserve"> </w:t>
      </w:r>
    </w:p>
    <w:p w14:paraId="53CB0232" w14:textId="4609EF26" w:rsidR="00D54C6D" w:rsidRPr="00D54C6D" w:rsidRDefault="00D54C6D" w:rsidP="00D54C6D">
      <w:pPr>
        <w:spacing w:before="100" w:beforeAutospacing="1" w:after="100" w:afterAutospacing="1"/>
        <w:ind w:left="-852"/>
        <w:jc w:val="center"/>
        <w:rPr>
          <w:rFonts w:ascii="Times New Roman" w:eastAsia="Times New Roman" w:hAnsi="Times New Roman" w:cs="Times New Roman"/>
          <w:b/>
          <w:bCs/>
          <w:rtl/>
        </w:rPr>
      </w:pPr>
      <w:r w:rsidRPr="00D54C6D">
        <w:rPr>
          <w:rFonts w:ascii="Times New Roman" w:eastAsia="Times New Roman" w:hAnsi="Times New Roman" w:cs="Times New Roman" w:hint="cs"/>
          <w:b/>
          <w:bCs/>
          <w:rtl/>
        </w:rPr>
        <w:t xml:space="preserve"> </w:t>
      </w:r>
      <w:hyperlink r:id="rId13" w:history="1">
        <w:r w:rsidRPr="00D54C6D">
          <w:rPr>
            <w:rStyle w:val="Hyperlink"/>
            <w:rFonts w:ascii="Times New Roman" w:eastAsia="Times New Roman" w:hAnsi="Times New Roman" w:cs="Times New Roman"/>
            <w:b/>
            <w:bCs/>
          </w:rPr>
          <w:t>hamed12sh13@gmail.com</w:t>
        </w:r>
      </w:hyperlink>
    </w:p>
    <w:p w14:paraId="0D175956" w14:textId="77777777" w:rsidR="00D54C6D" w:rsidRDefault="00D54C6D" w:rsidP="00D54C6D">
      <w:pPr>
        <w:spacing w:before="100" w:beforeAutospacing="1" w:after="100" w:afterAutospacing="1" w:line="240" w:lineRule="auto"/>
        <w:ind w:left="-492"/>
        <w:rPr>
          <w:rFonts w:ascii="Times New Roman" w:eastAsia="Times New Roman" w:hAnsi="Times New Roman" w:cs="Times New Roman"/>
          <w:b/>
          <w:bCs/>
        </w:rPr>
      </w:pPr>
    </w:p>
    <w:p w14:paraId="28105B9F" w14:textId="77777777" w:rsidR="001F2081" w:rsidRDefault="001F2081" w:rsidP="00D54C6D">
      <w:pPr>
        <w:spacing w:before="100" w:beforeAutospacing="1" w:after="100" w:afterAutospacing="1" w:line="240" w:lineRule="auto"/>
        <w:rPr>
          <w:rFonts w:ascii="Times New Roman" w:eastAsia="Times New Roman" w:hAnsi="Times New Roman" w:cs="Times New Roman"/>
          <w:b/>
          <w:bCs/>
          <w:rtl/>
        </w:rPr>
      </w:pPr>
    </w:p>
    <w:p w14:paraId="518DC6C5"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016B4123" w14:textId="77777777" w:rsidR="00D54C6D" w:rsidRPr="00D54C6D" w:rsidRDefault="00D54C6D" w:rsidP="00D54C6D">
      <w:pPr>
        <w:spacing w:before="100" w:beforeAutospacing="1" w:after="100" w:afterAutospacing="1" w:line="240" w:lineRule="auto"/>
        <w:jc w:val="center"/>
        <w:rPr>
          <w:rFonts w:ascii="Times New Roman" w:eastAsia="Times New Roman" w:hAnsi="Times New Roman" w:cs="Times New Roman"/>
          <w:b/>
          <w:bCs/>
        </w:rPr>
      </w:pPr>
      <w:r w:rsidRPr="00D54C6D">
        <w:rPr>
          <w:rFonts w:ascii="Times New Roman" w:eastAsia="Times New Roman" w:hAnsi="Times New Roman" w:cs="Times New Roman" w:hint="cs"/>
          <w:b/>
          <w:bCs/>
          <w:rtl/>
          <w:lang w:bidi="ar-SA"/>
        </w:rPr>
        <w:t>تحليل الوظائف اللغوية في مسرحية الحسين ثائرًا لعبدالرحمن الشرقاوي على ضوء نظرية التواصل لرومان جاكبسون</w:t>
      </w:r>
    </w:p>
    <w:p w14:paraId="0AAE9E1B" w14:textId="77777777" w:rsidR="00D54C6D" w:rsidRPr="00D54C6D" w:rsidRDefault="00D54C6D" w:rsidP="00D54C6D">
      <w:pPr>
        <w:spacing w:before="100" w:beforeAutospacing="1" w:after="100" w:afterAutospacing="1" w:line="240" w:lineRule="auto"/>
        <w:jc w:val="center"/>
        <w:rPr>
          <w:rFonts w:ascii="Times New Roman" w:eastAsia="Times New Roman" w:hAnsi="Times New Roman" w:cs="Times New Roman"/>
          <w:b/>
          <w:bCs/>
        </w:rPr>
      </w:pPr>
      <w:r w:rsidRPr="00D54C6D">
        <w:rPr>
          <w:rFonts w:ascii="Times New Roman" w:eastAsia="Times New Roman" w:hAnsi="Times New Roman" w:cs="Times New Roman" w:hint="cs"/>
          <w:b/>
          <w:bCs/>
          <w:rtl/>
        </w:rPr>
        <w:t>جواد سعدون زاده</w:t>
      </w:r>
      <w:r w:rsidRPr="00D54C6D">
        <w:rPr>
          <w:rFonts w:ascii="Times New Roman" w:eastAsia="Times New Roman" w:hAnsi="Times New Roman" w:cs="Times New Roman" w:hint="cs"/>
          <w:b/>
          <w:bCs/>
          <w:vertAlign w:val="superscript"/>
          <w:rtl/>
          <w:lang w:bidi="ar-SA"/>
        </w:rPr>
        <w:t>*</w:t>
      </w:r>
      <w:r w:rsidRPr="00D54C6D">
        <w:rPr>
          <w:rFonts w:ascii="Times New Roman" w:eastAsia="Times New Roman" w:hAnsi="Times New Roman" w:cs="Times New Roman" w:hint="cs"/>
          <w:b/>
          <w:bCs/>
          <w:rtl/>
          <w:lang w:bidi="ar-SA"/>
        </w:rPr>
        <w:t xml:space="preserve"> </w:t>
      </w:r>
      <w:r w:rsidRPr="00D54C6D">
        <w:rPr>
          <w:rFonts w:ascii="Times New Roman" w:eastAsia="Times New Roman" w:hAnsi="Times New Roman" w:cs="Times New Roman" w:hint="cs"/>
          <w:b/>
          <w:bCs/>
          <w:vertAlign w:val="superscript"/>
          <w:rtl/>
        </w:rPr>
        <w:t>1</w:t>
      </w:r>
      <w:r w:rsidRPr="00D54C6D">
        <w:rPr>
          <w:rFonts w:ascii="Times New Roman" w:eastAsia="Times New Roman" w:hAnsi="Times New Roman" w:cs="Times New Roman" w:hint="cs"/>
          <w:b/>
          <w:bCs/>
          <w:rtl/>
        </w:rPr>
        <w:t xml:space="preserve"> | </w:t>
      </w:r>
      <w:r w:rsidRPr="00D54C6D">
        <w:rPr>
          <w:rFonts w:ascii="Times New Roman" w:eastAsia="Times New Roman" w:hAnsi="Times New Roman" w:cs="Times New Roman" w:hint="cs"/>
          <w:b/>
          <w:bCs/>
          <w:rtl/>
          <w:lang w:bidi="ar-SA"/>
        </w:rPr>
        <w:t>نعیم عموري</w:t>
      </w:r>
      <w:r w:rsidRPr="00D54C6D">
        <w:rPr>
          <w:rFonts w:ascii="Times New Roman" w:eastAsia="Times New Roman" w:hAnsi="Times New Roman" w:cs="Times New Roman" w:hint="cs"/>
          <w:b/>
          <w:bCs/>
          <w:vertAlign w:val="superscript"/>
          <w:rtl/>
          <w:lang w:bidi="ar-SA"/>
        </w:rPr>
        <w:t>2</w:t>
      </w:r>
      <w:r w:rsidRPr="00D54C6D">
        <w:rPr>
          <w:rFonts w:ascii="Times New Roman" w:eastAsia="Times New Roman" w:hAnsi="Times New Roman" w:cs="Times New Roman" w:hint="cs"/>
          <w:b/>
          <w:bCs/>
          <w:vertAlign w:val="superscript"/>
          <w:rtl/>
        </w:rPr>
        <w:t xml:space="preserve"> </w:t>
      </w:r>
      <w:r w:rsidRPr="00D54C6D">
        <w:rPr>
          <w:rFonts w:ascii="Times New Roman" w:eastAsia="Times New Roman" w:hAnsi="Times New Roman" w:cs="Times New Roman" w:hint="cs"/>
          <w:b/>
          <w:bCs/>
          <w:rtl/>
        </w:rPr>
        <w:t xml:space="preserve">| </w:t>
      </w:r>
      <w:r w:rsidRPr="00D54C6D">
        <w:rPr>
          <w:rFonts w:ascii="Times New Roman" w:eastAsia="Times New Roman" w:hAnsi="Times New Roman" w:cs="Times New Roman" w:hint="cs"/>
          <w:b/>
          <w:bCs/>
          <w:rtl/>
          <w:lang w:bidi="ar-SA"/>
        </w:rPr>
        <w:t>حامد شمشاوي</w:t>
      </w:r>
      <w:r w:rsidRPr="00D54C6D">
        <w:rPr>
          <w:rFonts w:ascii="Times New Roman" w:eastAsia="Times New Roman" w:hAnsi="Times New Roman" w:cs="Times New Roman" w:hint="cs"/>
          <w:b/>
          <w:bCs/>
          <w:vertAlign w:val="superscript"/>
          <w:rtl/>
        </w:rPr>
        <w:t xml:space="preserve"> 3</w:t>
      </w:r>
    </w:p>
    <w:p w14:paraId="67F422BC" w14:textId="77777777" w:rsidR="00D54C6D" w:rsidRPr="00D54C6D" w:rsidRDefault="00D54C6D" w:rsidP="00D54C6D">
      <w:pPr>
        <w:spacing w:before="100" w:beforeAutospacing="1" w:after="100" w:afterAutospacing="1" w:line="240" w:lineRule="auto"/>
        <w:jc w:val="center"/>
        <w:rPr>
          <w:rFonts w:ascii="Times New Roman" w:eastAsia="Times New Roman" w:hAnsi="Times New Roman" w:cs="Times New Roman"/>
          <w:b/>
          <w:bCs/>
          <w:rtl/>
          <w:lang w:bidi="ar-SA"/>
        </w:rPr>
      </w:pPr>
      <w:r w:rsidRPr="00D54C6D">
        <w:rPr>
          <w:rFonts w:ascii="Times New Roman" w:eastAsia="Times New Roman" w:hAnsi="Times New Roman" w:cs="Times New Roman"/>
          <w:b/>
          <w:bCs/>
          <w:rtl/>
          <w:lang w:bidi="ar-SA"/>
        </w:rPr>
        <w:t>1.</w:t>
      </w:r>
      <w:r w:rsidRPr="00D54C6D">
        <w:rPr>
          <w:rFonts w:ascii="Times New Roman" w:eastAsia="Times New Roman" w:hAnsi="Times New Roman" w:cs="Times New Roman" w:hint="cs"/>
          <w:b/>
          <w:bCs/>
          <w:rtl/>
          <w:lang w:bidi="ar-SA"/>
        </w:rPr>
        <w:t xml:space="preserve"> (الکاتب المسؤول)</w:t>
      </w:r>
      <w:r w:rsidRPr="00D54C6D">
        <w:rPr>
          <w:rFonts w:ascii="Times New Roman" w:eastAsia="Times New Roman" w:hAnsi="Times New Roman" w:cs="Times New Roman"/>
          <w:b/>
          <w:bCs/>
        </w:rPr>
        <w:t xml:space="preserve"> </w:t>
      </w:r>
      <w:r w:rsidRPr="00D54C6D">
        <w:rPr>
          <w:rFonts w:ascii="Times New Roman" w:eastAsia="Times New Roman" w:hAnsi="Times New Roman" w:cs="Times New Roman" w:hint="cs"/>
          <w:b/>
          <w:bCs/>
          <w:rtl/>
          <w:lang w:bidi="ar-SA"/>
        </w:rPr>
        <w:t>أستاذ في قسم اللغة العربية وآدابها بجامعة شهید تشمران أهواز، أهواز، إیران. البريد الإلکتروني:</w:t>
      </w:r>
      <w:r w:rsidRPr="00D54C6D">
        <w:rPr>
          <w:rFonts w:ascii="Times New Roman" w:eastAsia="Times New Roman" w:hAnsi="Times New Roman" w:cs="Times New Roman"/>
          <w:b/>
          <w:bCs/>
        </w:rPr>
        <w:t xml:space="preserve"> </w:t>
      </w:r>
      <w:hyperlink r:id="rId14" w:tgtFrame="_blank" w:history="1">
        <w:r w:rsidRPr="00D54C6D">
          <w:rPr>
            <w:rStyle w:val="Hyperlink"/>
            <w:rFonts w:ascii="Times New Roman" w:eastAsia="Times New Roman" w:hAnsi="Times New Roman" w:cs="Times New Roman"/>
            <w:b/>
            <w:bCs/>
          </w:rPr>
          <w:t>(J.sadounzadeh@scu.ac.ir</w:t>
        </w:r>
      </w:hyperlink>
      <w:r w:rsidRPr="00D54C6D">
        <w:rPr>
          <w:rFonts w:ascii="Times New Roman" w:eastAsia="Times New Roman" w:hAnsi="Times New Roman" w:cs="Times New Roman"/>
          <w:b/>
          <w:bCs/>
        </w:rPr>
        <w:t>)</w:t>
      </w:r>
    </w:p>
    <w:p w14:paraId="1BE58318" w14:textId="77777777" w:rsidR="00D54C6D" w:rsidRPr="00D54C6D" w:rsidRDefault="00D54C6D" w:rsidP="00D54C6D">
      <w:pPr>
        <w:spacing w:before="100" w:beforeAutospacing="1" w:after="100" w:afterAutospacing="1" w:line="240" w:lineRule="auto"/>
        <w:jc w:val="center"/>
        <w:rPr>
          <w:rFonts w:ascii="Times New Roman" w:eastAsia="Times New Roman" w:hAnsi="Times New Roman" w:cs="Times New Roman" w:hint="cs"/>
          <w:b/>
          <w:bCs/>
          <w:rtl/>
          <w:lang w:bidi="ar-SA"/>
        </w:rPr>
      </w:pPr>
      <w:r w:rsidRPr="00D54C6D">
        <w:rPr>
          <w:rFonts w:ascii="Times New Roman" w:eastAsia="Times New Roman" w:hAnsi="Times New Roman" w:cs="Times New Roman" w:hint="cs"/>
          <w:b/>
          <w:bCs/>
          <w:rtl/>
          <w:lang w:bidi="ar-SA"/>
        </w:rPr>
        <w:t>2. أستاد في قسم اللغة العربية وآدابها بجامعة شهید تشمران أهواز، أهواز، إیران. البريد</w:t>
      </w:r>
      <w:r w:rsidRPr="00D54C6D">
        <w:rPr>
          <w:rFonts w:ascii="Times New Roman" w:eastAsia="Times New Roman" w:hAnsi="Times New Roman" w:cs="Times New Roman" w:hint="cs"/>
          <w:b/>
          <w:bCs/>
          <w:rtl/>
        </w:rPr>
        <w:t xml:space="preserve"> الإلکترونی</w:t>
      </w:r>
      <w:r w:rsidRPr="00D54C6D">
        <w:rPr>
          <w:rFonts w:ascii="Times New Roman" w:eastAsia="Times New Roman" w:hAnsi="Times New Roman" w:cs="Times New Roman" w:hint="cs"/>
          <w:b/>
          <w:bCs/>
          <w:rtl/>
          <w:lang w:bidi="ar-SA"/>
        </w:rPr>
        <w:t>: (</w:t>
      </w:r>
      <w:hyperlink r:id="rId15" w:tgtFrame="_blank" w:history="1">
        <w:r w:rsidRPr="00D54C6D">
          <w:rPr>
            <w:rStyle w:val="Hyperlink"/>
            <w:rFonts w:ascii="Times New Roman" w:eastAsia="Times New Roman" w:hAnsi="Times New Roman" w:cs="Times New Roman"/>
            <w:b/>
            <w:bCs/>
          </w:rPr>
          <w:t>n.amouri@scu.ac.ir</w:t>
        </w:r>
      </w:hyperlink>
      <w:r w:rsidRPr="00D54C6D">
        <w:rPr>
          <w:rFonts w:ascii="Times New Roman" w:eastAsia="Times New Roman" w:hAnsi="Times New Roman" w:cs="Times New Roman"/>
          <w:b/>
          <w:bCs/>
          <w:rtl/>
          <w:lang w:bidi="ar-SA"/>
        </w:rPr>
        <w:t>)</w:t>
      </w:r>
    </w:p>
    <w:p w14:paraId="4EE2E405" w14:textId="77777777" w:rsidR="00D54C6D" w:rsidRPr="00D54C6D" w:rsidRDefault="00D54C6D" w:rsidP="00D54C6D">
      <w:pPr>
        <w:spacing w:before="100" w:beforeAutospacing="1" w:after="100" w:afterAutospacing="1" w:line="240" w:lineRule="auto"/>
        <w:jc w:val="center"/>
        <w:rPr>
          <w:rFonts w:ascii="Times New Roman" w:eastAsia="Times New Roman" w:hAnsi="Times New Roman" w:cs="Times New Roman"/>
          <w:b/>
          <w:bCs/>
        </w:rPr>
      </w:pPr>
      <w:r w:rsidRPr="00D54C6D">
        <w:rPr>
          <w:rFonts w:ascii="Times New Roman" w:eastAsia="Times New Roman" w:hAnsi="Times New Roman" w:cs="Times New Roman" w:hint="cs"/>
          <w:b/>
          <w:bCs/>
          <w:rtl/>
          <w:lang w:bidi="ar-SA"/>
        </w:rPr>
        <w:t xml:space="preserve">3. ماجستر في فرع اللغة العربية وآدابها بجامعة شهید تشمران أهواز، أهواز، إیران.  البريد الإکترونی: </w:t>
      </w:r>
      <w:r w:rsidRPr="00D54C6D">
        <w:rPr>
          <w:rFonts w:ascii="Times New Roman" w:eastAsia="Times New Roman" w:hAnsi="Times New Roman" w:cs="Times New Roman"/>
          <w:b/>
          <w:bCs/>
        </w:rPr>
        <w:t>(</w:t>
      </w:r>
      <w:hyperlink r:id="rId16" w:history="1">
        <w:r w:rsidRPr="00D54C6D">
          <w:rPr>
            <w:rStyle w:val="Hyperlink"/>
            <w:rFonts w:ascii="Times New Roman" w:eastAsia="Times New Roman" w:hAnsi="Times New Roman" w:cs="Times New Roman"/>
            <w:b/>
            <w:bCs/>
          </w:rPr>
          <w:t>hamed12sh13@gmail.com</w:t>
        </w:r>
      </w:hyperlink>
      <w:r w:rsidRPr="00D54C6D">
        <w:rPr>
          <w:rFonts w:ascii="Times New Roman" w:eastAsia="Times New Roman" w:hAnsi="Times New Roman" w:cs="Times New Roman"/>
          <w:b/>
          <w:bCs/>
        </w:rPr>
        <w:t xml:space="preserve"> ) </w:t>
      </w:r>
    </w:p>
    <w:p w14:paraId="31E57746" w14:textId="77777777" w:rsidR="001F2081" w:rsidRDefault="001F2081" w:rsidP="001F2081">
      <w:pPr>
        <w:spacing w:before="100" w:beforeAutospacing="1" w:after="100" w:afterAutospacing="1" w:line="240" w:lineRule="auto"/>
        <w:jc w:val="center"/>
        <w:rPr>
          <w:rFonts w:ascii="Times New Roman" w:eastAsia="Times New Roman" w:hAnsi="Times New Roman" w:cs="Times New Roman"/>
          <w:b/>
          <w:bCs/>
          <w:rtl/>
        </w:rPr>
      </w:pPr>
    </w:p>
    <w:p w14:paraId="40730E24" w14:textId="55CFBA26" w:rsidR="006A3BFA" w:rsidRPr="001F2081" w:rsidRDefault="006A3BFA" w:rsidP="00D54C6D">
      <w:pPr>
        <w:spacing w:before="100" w:beforeAutospacing="1" w:after="100" w:afterAutospacing="1" w:line="240" w:lineRule="auto"/>
        <w:rPr>
          <w:rFonts w:ascii="Times New Roman" w:eastAsia="Times New Roman" w:hAnsi="Times New Roman" w:cs="Times New Roman"/>
          <w:b/>
          <w:bCs/>
        </w:rPr>
      </w:pPr>
      <w:r w:rsidRPr="006A3BFA">
        <w:rPr>
          <w:rFonts w:ascii="Times New Roman" w:eastAsia="Times New Roman" w:hAnsi="Times New Roman" w:cs="Times New Roman"/>
          <w:b/>
          <w:bCs/>
        </w:rPr>
        <w:t xml:space="preserve">An Analysis of Linguistic Functions in Abd al-Rahman Al-Sharqawi’s Play </w:t>
      </w:r>
      <w:r w:rsidRPr="006A3BFA">
        <w:rPr>
          <w:rFonts w:ascii="Times New Roman" w:eastAsia="Times New Roman" w:hAnsi="Times New Roman" w:cs="Times New Roman"/>
          <w:b/>
          <w:bCs/>
          <w:i/>
          <w:iCs/>
        </w:rPr>
        <w:t>Al-Husayn Thaʾiran (Husayn the Revolutionary)</w:t>
      </w:r>
      <w:r w:rsidRPr="006A3BFA">
        <w:rPr>
          <w:rFonts w:ascii="Times New Roman" w:eastAsia="Times New Roman" w:hAnsi="Times New Roman" w:cs="Times New Roman"/>
          <w:b/>
          <w:bCs/>
        </w:rPr>
        <w:t xml:space="preserve"> in Light of Roman Jakobson’s Communication Theory</w:t>
      </w:r>
    </w:p>
    <w:p w14:paraId="18F25D76" w14:textId="77777777" w:rsidR="006B5CA3" w:rsidRPr="00B264FA" w:rsidRDefault="006B5CA3" w:rsidP="006A3BFA">
      <w:pPr>
        <w:spacing w:before="100" w:beforeAutospacing="1" w:after="100" w:afterAutospacing="1" w:line="240" w:lineRule="auto"/>
        <w:jc w:val="right"/>
        <w:outlineLvl w:val="2"/>
        <w:rPr>
          <w:rFonts w:ascii="IRLotus" w:eastAsia="Times New Roman" w:hAnsi="IRLotus" w:cs="IRLotus"/>
          <w:b/>
          <w:bCs/>
          <w:sz w:val="20"/>
          <w:szCs w:val="20"/>
        </w:rPr>
      </w:pPr>
      <w:r w:rsidRPr="00B264FA">
        <w:rPr>
          <w:rFonts w:ascii="IRLotus" w:eastAsia="Times New Roman" w:hAnsi="IRLotus" w:cs="IRLotus"/>
          <w:b/>
          <w:bCs/>
          <w:sz w:val="20"/>
          <w:szCs w:val="20"/>
        </w:rPr>
        <w:t>Abstract</w:t>
      </w:r>
    </w:p>
    <w:p w14:paraId="24F83E4D" w14:textId="77777777" w:rsidR="006B5CA3" w:rsidRPr="00B264FA" w:rsidRDefault="006B5CA3" w:rsidP="006B5CA3">
      <w:pPr>
        <w:spacing w:before="100" w:beforeAutospacing="1" w:after="100" w:afterAutospacing="1" w:line="240" w:lineRule="auto"/>
        <w:jc w:val="both"/>
        <w:rPr>
          <w:rFonts w:ascii="IRLotus" w:eastAsia="Times New Roman" w:hAnsi="IRLotus" w:cs="IRLotus"/>
          <w:sz w:val="20"/>
          <w:szCs w:val="20"/>
          <w:rtl/>
        </w:rPr>
      </w:pPr>
      <w:r w:rsidRPr="00B264FA">
        <w:rPr>
          <w:rFonts w:ascii="IRLotus" w:eastAsia="Times New Roman" w:hAnsi="IRLotus" w:cs="IRLotus"/>
          <w:sz w:val="20"/>
          <w:szCs w:val="20"/>
        </w:rPr>
        <w:t>This research aims to analyze the linguistic functions in Abdel Rahman Sharqawi's play "Al-Hussein the Revolutionary," drawing on Roman Jakobson's communicative theory. It examines theatrical discourse as a linguistic act imbued with semantic, aesthetic, and intellectual dimensions. The research demonstrates how Sharqawi employs language as a tool for revolution and awareness, transforming elements of discourse into communicative mediums that play multiple roles within the theatrical structure. The study reveals that the referential function is prominent in the narrative sections relating to Al-Hussein's revolution, as these sections are based on presenting reality and establishing the context. The emotional function is manifested in the speeches of Al-Hussein and his followers, which express pain, rejection, and faith, thus giving the text a powerful emotional character. The persuasive or vocative function is employed when Al-Hussein addresses the nation, urging it to resist injustice, where the language takes on an incitement-like quality that compels the audience to engage. The presence of the poetic function is also evident through the rhythm and rhetorical imagery that enrich the text's artistic structure and reinforce its aesthetic appeal. The metalinguistic function is prominent in dialogues where speakers explain religious or moral concepts to clarify meanings. The introductory function appears in the calls and opening lines of dialogue, which aim to initiate and manage communication. The findings demonstrate that Sharqawi employs all the functions of language to serve his intellectual vision, making the play a vivid example of the interaction between revolutionary discourse and communication theory.</w:t>
      </w:r>
    </w:p>
    <w:p w14:paraId="627ADFEB" w14:textId="2262AF7F" w:rsidR="006B5CA3" w:rsidRPr="00B264FA" w:rsidRDefault="006B5CA3" w:rsidP="006B5CA3">
      <w:pPr>
        <w:spacing w:before="100" w:beforeAutospacing="1" w:after="100" w:afterAutospacing="1" w:line="240" w:lineRule="auto"/>
        <w:jc w:val="both"/>
        <w:rPr>
          <w:rFonts w:ascii="IRLotus" w:eastAsia="Times New Roman" w:hAnsi="IRLotus" w:cs="IRLotus"/>
          <w:sz w:val="20"/>
          <w:szCs w:val="20"/>
          <w:rtl/>
        </w:rPr>
      </w:pPr>
      <w:r w:rsidRPr="00B264FA">
        <w:rPr>
          <w:rFonts w:ascii="IRLotus" w:eastAsia="Times New Roman" w:hAnsi="IRLotus" w:cs="IRLotus"/>
          <w:b/>
          <w:bCs/>
          <w:sz w:val="20"/>
          <w:szCs w:val="20"/>
        </w:rPr>
        <w:t>Keywords:</w:t>
      </w:r>
      <w:r w:rsidRPr="00B264FA">
        <w:rPr>
          <w:rFonts w:ascii="IRLotus" w:eastAsia="Times New Roman" w:hAnsi="IRLotus" w:cs="IRLotus"/>
          <w:sz w:val="20"/>
          <w:szCs w:val="20"/>
        </w:rPr>
        <w:t xml:space="preserve"> Roman Jakobson, linguistic functions, communication, stylistics, Abd al-Rahman al-Sharqawi, </w:t>
      </w:r>
      <w:r w:rsidRPr="00B264FA">
        <w:rPr>
          <w:rFonts w:ascii="IRLotus" w:eastAsia="Times New Roman" w:hAnsi="IRLotus" w:cs="IRLotus"/>
          <w:i/>
          <w:iCs/>
          <w:sz w:val="20"/>
          <w:szCs w:val="20"/>
        </w:rPr>
        <w:t>Al-Husayn Thaʾiran</w:t>
      </w:r>
      <w:r w:rsidRPr="00B264FA">
        <w:rPr>
          <w:rFonts w:ascii="IRLotus" w:eastAsia="Times New Roman" w:hAnsi="IRLotus" w:cs="IRLotus"/>
          <w:sz w:val="20"/>
          <w:szCs w:val="20"/>
        </w:rPr>
        <w:t>.</w:t>
      </w:r>
      <w:r w:rsidR="00FC3AB3">
        <w:rPr>
          <w:rFonts w:ascii="IRLotus" w:eastAsia="Times New Roman" w:hAnsi="IRLotus" w:cs="IRLotus" w:hint="cs"/>
          <w:sz w:val="20"/>
          <w:szCs w:val="20"/>
          <w:rtl/>
        </w:rPr>
        <w:t>،</w:t>
      </w:r>
      <w:r w:rsidR="00FC3AB3" w:rsidRPr="00FC3AB3">
        <w:t xml:space="preserve"> </w:t>
      </w:r>
      <w:r w:rsidR="00FC3AB3" w:rsidRPr="00FC3AB3">
        <w:rPr>
          <w:rFonts w:ascii="IRLotus" w:eastAsia="Times New Roman" w:hAnsi="IRLotus" w:cs="IRLotus"/>
          <w:sz w:val="20"/>
          <w:szCs w:val="20"/>
        </w:rPr>
        <w:t>the play</w:t>
      </w:r>
    </w:p>
    <w:p w14:paraId="1EED334F" w14:textId="77777777" w:rsidR="006A3BFA" w:rsidRPr="009A4A9A" w:rsidRDefault="006A3BFA" w:rsidP="006A3BFA">
      <w:pPr>
        <w:pStyle w:val="FootnoteText"/>
        <w:spacing w:after="0" w:line="240" w:lineRule="auto"/>
        <w:jc w:val="center"/>
        <w:rPr>
          <w:rFonts w:ascii="IRLotus" w:hAnsi="IRLotus" w:cs="IRLotus"/>
          <w:b/>
          <w:bCs/>
          <w:color w:val="000000"/>
          <w:sz w:val="32"/>
          <w:szCs w:val="32"/>
          <w:rtl/>
          <w:lang w:bidi="ar-SA"/>
        </w:rPr>
      </w:pPr>
    </w:p>
    <w:p w14:paraId="31D0D4CE" w14:textId="01FD8DB6" w:rsidR="006A3BFA" w:rsidRPr="00B264FA" w:rsidRDefault="006A3BFA" w:rsidP="00D55584">
      <w:pPr>
        <w:pStyle w:val="FootnoteText"/>
        <w:spacing w:after="0" w:line="240" w:lineRule="auto"/>
        <w:jc w:val="center"/>
        <w:rPr>
          <w:rFonts w:ascii="IRLotus" w:hAnsi="IRLotus" w:cs="IRLotus"/>
          <w:b/>
          <w:bCs/>
          <w:color w:val="000000"/>
          <w:sz w:val="28"/>
          <w:szCs w:val="28"/>
          <w:rtl/>
          <w:lang w:bidi="ar-SA"/>
        </w:rPr>
      </w:pPr>
      <w:r w:rsidRPr="00B264FA">
        <w:rPr>
          <w:rFonts w:ascii="IRLotus" w:hAnsi="IRLotus" w:cs="IRLotus"/>
          <w:b/>
          <w:bCs/>
          <w:color w:val="000000"/>
          <w:sz w:val="28"/>
          <w:szCs w:val="28"/>
          <w:rtl/>
        </w:rPr>
        <w:t>تحليل</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الوظائف</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اللغوية</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في</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مسرحية</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الحسين</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ثائرا</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لعبدالرحمن</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الشرقاوي</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على</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ضوء</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نظرية</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جاكبسون</w:t>
      </w:r>
      <w:r w:rsidRPr="00B264FA">
        <w:rPr>
          <w:rFonts w:ascii="IRLotus" w:hAnsi="IRLotus" w:cs="IRLotus"/>
          <w:b/>
          <w:bCs/>
          <w:color w:val="000000"/>
          <w:sz w:val="28"/>
          <w:szCs w:val="28"/>
          <w:rtl/>
          <w:lang w:bidi="ar-SA"/>
        </w:rPr>
        <w:t xml:space="preserve"> </w:t>
      </w:r>
      <w:r w:rsidRPr="00B264FA">
        <w:rPr>
          <w:rFonts w:ascii="IRLotus" w:hAnsi="IRLotus" w:cs="IRLotus"/>
          <w:b/>
          <w:bCs/>
          <w:color w:val="000000"/>
          <w:sz w:val="28"/>
          <w:szCs w:val="28"/>
          <w:rtl/>
        </w:rPr>
        <w:t>التواصلية</w:t>
      </w:r>
    </w:p>
    <w:p w14:paraId="3380AAEB" w14:textId="77777777" w:rsidR="006B5CA3" w:rsidRPr="00B264FA" w:rsidRDefault="006B5CA3" w:rsidP="006B5CA3">
      <w:pPr>
        <w:spacing w:before="100" w:beforeAutospacing="1" w:after="100" w:afterAutospacing="1" w:line="240" w:lineRule="auto"/>
        <w:jc w:val="both"/>
        <w:outlineLvl w:val="2"/>
        <w:rPr>
          <w:rFonts w:ascii="IRLotus" w:eastAsia="Times New Roman" w:hAnsi="IRLotus" w:cs="IRLotus"/>
          <w:b/>
          <w:bCs/>
        </w:rPr>
      </w:pPr>
      <w:r w:rsidRPr="00B264FA">
        <w:rPr>
          <w:rFonts w:ascii="IRLotus" w:eastAsia="Times New Roman" w:hAnsi="IRLotus" w:cs="IRLotus"/>
          <w:b/>
          <w:bCs/>
          <w:rtl/>
        </w:rPr>
        <w:t xml:space="preserve">الملخّص </w:t>
      </w:r>
    </w:p>
    <w:p w14:paraId="6A29C92B" w14:textId="77777777" w:rsidR="006B5CA3" w:rsidRPr="00B264FA" w:rsidRDefault="006B5CA3" w:rsidP="006B5CA3">
      <w:pPr>
        <w:spacing w:before="100" w:beforeAutospacing="1" w:after="100" w:afterAutospacing="1" w:line="240" w:lineRule="auto"/>
        <w:jc w:val="both"/>
        <w:rPr>
          <w:rFonts w:ascii="IRLotus" w:eastAsia="Times New Roman" w:hAnsi="IRLotus" w:cs="IRLotus"/>
        </w:rPr>
      </w:pPr>
      <w:r w:rsidRPr="00B264FA">
        <w:rPr>
          <w:rFonts w:ascii="IRLotus" w:eastAsia="Times New Roman" w:hAnsi="IRLotus" w:cs="IRLotus"/>
          <w:rtl/>
        </w:rPr>
        <w:t xml:space="preserve">يهدف هذا البحث إلى تحليل الوظائف اللغوية في مسرحية الحسين ثائرًا لعبد الرحمن الشرقاوي بالاعتماد على نظرية رومان جاكبسون التواصلية، من خلال دراسة الخطاب المسرحي بوصفه فعلاً لغوياً يحمل أبعاداً دلالية وجمالية وفكرية. ويبيّن البحث كيف يوظّف الشرقاوي اللغة أداةً للثورة والوعي، بحيث تتحول عناصر الخطاب إلى وسائط تواصلية تؤدي أدواراً متعددة داخل البنية المسرحية. تكشف الدراسة أنّ الوظيفة المرجعية تبرز في مقاطع سرد الأحداث التاريخية المتعلقة بثورة الحسين، إذ تُبنى على عرض الواقع وتحديد السياق. اما الوظيفة الانفعالية فتتجلّى في خطاب الحسين </w:t>
      </w:r>
      <w:r w:rsidRPr="00B264FA">
        <w:rPr>
          <w:rFonts w:ascii="IRLotus" w:eastAsia="Times New Roman" w:hAnsi="IRLotus" w:cs="IRLotus"/>
          <w:rtl/>
        </w:rPr>
        <w:lastRenderedPageBreak/>
        <w:t>وأتباعه الذي يعبّر عن الألم والرفض والعقيدة، مما يمنح النص طابعا وجدانيّا قويّا وتُستخدم الوظيفة الإقناعية أو الندائية عند توجيه الحسين خطابه للأمة لحثّها على مقاومة الظلم، حيث تتخذ اللغة طابعاً تحريضياً يدفع المتلقي للتفاعل. كما يظهر حضور الوظيفة الشعرية من خلال الإيقاع والصور البلاغية التي تثري البنية الفنية للنص وتؤكد جماليته. ويبرز دور الوظيفة الميتالسانية في الحوارات التي يشرح فيها المتحدثون مفاهيم دينية أو أخلاقية لتوضيح المعاني. أما الوظيفة الفاتحية فتظهر في النداءات والافتتاحيات الحوارية التي تهدف إلى بدء التواصل وإدارته. توضح النتائج أن الشرقاوي يوظف وظائف اللغة جميعها لخدمة رؤيته الفكرية، مما يجعل المسرحية نموذجاً حيوياً لتفاعل الخطاب الثوري مع نظرية التواصل.</w:t>
      </w:r>
    </w:p>
    <w:p w14:paraId="6017619E" w14:textId="71C18A39" w:rsidR="006B5CA3" w:rsidRPr="00B264FA" w:rsidRDefault="006B5CA3" w:rsidP="006B5CA3">
      <w:pPr>
        <w:spacing w:before="100" w:beforeAutospacing="1" w:after="100" w:afterAutospacing="1" w:line="240" w:lineRule="auto"/>
        <w:jc w:val="both"/>
        <w:rPr>
          <w:rFonts w:ascii="IRLotus" w:hAnsi="IRLotus" w:cs="IRLotus"/>
          <w:b/>
          <w:bCs/>
          <w:color w:val="FF0000"/>
          <w:rtl/>
        </w:rPr>
      </w:pPr>
      <w:r w:rsidRPr="00B264FA">
        <w:rPr>
          <w:rFonts w:ascii="IRLotus" w:eastAsia="Times New Roman" w:hAnsi="IRLotus" w:cs="IRLotus"/>
          <w:b/>
          <w:bCs/>
          <w:rtl/>
        </w:rPr>
        <w:t>الكلمات المفتاحية</w:t>
      </w:r>
      <w:r w:rsidRPr="00B264FA">
        <w:rPr>
          <w:rFonts w:ascii="IRLotus" w:eastAsia="Times New Roman" w:hAnsi="IRLotus" w:cs="IRLotus"/>
          <w:b/>
          <w:bCs/>
        </w:rPr>
        <w:t>:</w:t>
      </w:r>
      <w:r w:rsidRPr="00B264FA">
        <w:rPr>
          <w:rFonts w:ascii="IRLotus" w:eastAsia="Times New Roman" w:hAnsi="IRLotus" w:cs="IRLotus"/>
        </w:rPr>
        <w:t xml:space="preserve"> </w:t>
      </w:r>
      <w:r w:rsidRPr="00B264FA">
        <w:rPr>
          <w:rFonts w:ascii="IRLotus" w:eastAsia="Times New Roman" w:hAnsi="IRLotus" w:cs="IRLotus"/>
          <w:rtl/>
        </w:rPr>
        <w:t>رومان جاكبسون، الو</w:t>
      </w:r>
      <w:r w:rsidR="00204431" w:rsidRPr="00B264FA">
        <w:rPr>
          <w:rFonts w:ascii="IRLotus" w:eastAsia="Times New Roman" w:hAnsi="IRLotus" w:cs="IRLotus"/>
          <w:rtl/>
        </w:rPr>
        <w:t xml:space="preserve">ظائف اللغوية، التواصل، </w:t>
      </w:r>
      <w:r w:rsidR="00204431" w:rsidRPr="00311A8A">
        <w:rPr>
          <w:rFonts w:ascii="IRLotus" w:eastAsia="Times New Roman" w:hAnsi="IRLotus" w:cs="IRLotus" w:hint="cs"/>
          <w:highlight w:val="yellow"/>
          <w:rtl/>
        </w:rPr>
        <w:t>المسرحیة</w:t>
      </w:r>
      <w:r w:rsidRPr="00311A8A">
        <w:rPr>
          <w:rFonts w:ascii="IRLotus" w:eastAsia="Times New Roman" w:hAnsi="IRLotus" w:cs="IRLotus"/>
          <w:highlight w:val="yellow"/>
          <w:rtl/>
        </w:rPr>
        <w:t>،</w:t>
      </w:r>
      <w:r w:rsidRPr="00B264FA">
        <w:rPr>
          <w:rFonts w:ascii="IRLotus" w:eastAsia="Times New Roman" w:hAnsi="IRLotus" w:cs="IRLotus"/>
          <w:rtl/>
        </w:rPr>
        <w:t xml:space="preserve"> عبد الرحمن الشرقاوي، </w:t>
      </w:r>
      <w:r w:rsidRPr="00B264FA">
        <w:rPr>
          <w:rFonts w:ascii="IRLotus" w:eastAsia="Times New Roman" w:hAnsi="IRLotus" w:cs="IRLotus"/>
          <w:i/>
          <w:iCs/>
          <w:rtl/>
        </w:rPr>
        <w:t>الحسين ثائرًا</w:t>
      </w:r>
      <w:r w:rsidRPr="00B264FA">
        <w:rPr>
          <w:rFonts w:ascii="IRLotus" w:eastAsia="Times New Roman" w:hAnsi="IRLotus" w:cs="IRLotus"/>
        </w:rPr>
        <w:t>.</w:t>
      </w:r>
    </w:p>
    <w:p w14:paraId="6336B16F" w14:textId="77777777" w:rsidR="006B5CA3" w:rsidRPr="00B264FA" w:rsidRDefault="006B5CA3" w:rsidP="006B5CA3">
      <w:pPr>
        <w:spacing w:line="240" w:lineRule="auto"/>
        <w:jc w:val="both"/>
        <w:rPr>
          <w:rFonts w:ascii="IRLotus" w:hAnsi="IRLotus" w:cs="IRLotus"/>
          <w:b/>
          <w:bCs/>
          <w:sz w:val="26"/>
          <w:szCs w:val="26"/>
        </w:rPr>
      </w:pPr>
      <w:r w:rsidRPr="00B264FA">
        <w:rPr>
          <w:rFonts w:ascii="IRLotus" w:hAnsi="IRLotus" w:cs="IRLotus"/>
          <w:b/>
          <w:bCs/>
          <w:sz w:val="26"/>
          <w:szCs w:val="26"/>
          <w:rtl/>
        </w:rPr>
        <w:t>المقدمة</w:t>
      </w:r>
    </w:p>
    <w:p w14:paraId="4441DF6B"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يُعدّ الخطاب المسرحي أحد أكثر الأجناس الأدبية قدرةً على توظيف اللغة في مستوياتها المختلفة؛ إذ تتقاطع فيه اللغة مع الفكر، والقول مع الفعل، والتعبير مع الأداء. ومن هذا المنطلق، تشكّل اللغة في مسرح عبد الرحمن الشرقاوي محورًا أساسيًا في بناء الرؤية الفكرية والدرامية، إذ لا تُستخدم بوصفها وسيلة للتواصل فحسب، بل بوصفها أداة لتوليد المعنى وإثارة الوعي وإعادة تشكيل الوجدان الجمعي</w:t>
      </w:r>
      <w:r w:rsidRPr="00B264FA">
        <w:rPr>
          <w:rFonts w:ascii="IRLotus" w:hAnsi="IRLotus" w:cs="IRLotus"/>
          <w:sz w:val="26"/>
          <w:szCs w:val="26"/>
        </w:rPr>
        <w:t>.</w:t>
      </w:r>
      <w:r w:rsidRPr="00B264FA">
        <w:rPr>
          <w:rFonts w:ascii="IRLotus" w:hAnsi="IRLotus" w:cs="IRLotus"/>
          <w:sz w:val="26"/>
          <w:szCs w:val="26"/>
          <w:rtl/>
        </w:rPr>
        <w:t xml:space="preserve"> ومن أبرز مسرحيات الشرقاوي التي تجلّى فيها هذا التوظيف الواعي للغة مسرحية «الحسين ثائرًا»، التي جاءت تعبيرًا فنيًا راقيًا عن مأساة كربلاء، حيث يقدّم الكاتب شخصية الحسين بوصفها رمزًا للحق والحرية ومقاومة الظلم. وقد منح الشرقاوي اللغة في هذا العمل بعدًا يتجاوز الإخبار إلى التأثير، ويتخطّى الإحالة إلى الإبداع، فغدت اللغة حاملةً للفكر والعاطفة معًا</w:t>
      </w:r>
      <w:r w:rsidRPr="00B264FA">
        <w:rPr>
          <w:rFonts w:ascii="IRLotus" w:hAnsi="IRLotus" w:cs="IRLotus"/>
          <w:sz w:val="26"/>
          <w:szCs w:val="26"/>
        </w:rPr>
        <w:t>.</w:t>
      </w:r>
    </w:p>
    <w:p w14:paraId="2E24DB85"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نظريّة التواصل عند "رومان جاكبسون" تركز على تحليل عملية الاتصال بين المرسل والمستقبل من خلال تحديد ستة عناصر أساسية: المرسل، المستقبل، الرسالة، القناة، السياق، والمحتوى. جاكبسون اعتبر أن الاتصال ليس مجرد تبادل كلمات، بل يتضمن دورًا هامًا للوظائف المختلفة مثل التعبير العاطفي، الإقناع، والتحفيز على الفعل. هذه الوظائف تساهم في فهم كيفية تأثير الرسالة على المتلقي من خلال سياقها، مما يجعل الاتصال عملية متعددة الأبعاد تنطوي على تفاعل مستمر بين جميع هذه العناصر</w:t>
      </w:r>
    </w:p>
    <w:p w14:paraId="57065A60"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تركز الوظيفة المرجعية على السياق، وهي تهدف إلى نقل المعلومات عن الواقع أو وصف الأحداث والأفكار، وتشكل العمود الفقري للخطاب الإخباري والعلمي، لكنها في النص الأدبي تضيف بعدًا رمزيًا وتخيليًا، يتيح للقارئ أو المتلقي الانغماس في عالم النص واستيعاب أبعاده الفكرية والثقافية. أما الوظيفة التعبيرية، المرتبطة بالمرسل، فتكشف عن الانفعالات والمواقف الذاتية، وتضفي على النص حرارة وجدانية تجعل اللغة أكثر حيوية وقدرة على التأثير، وتبرز هذه الوظيفة في المسرح الشعري من خلال اختيار المفردات، والنبرة، والإيقاع، بما يعكس المكنونات النفسية للشخصيات</w:t>
      </w:r>
      <w:r w:rsidRPr="00B264FA">
        <w:rPr>
          <w:rFonts w:ascii="IRLotus" w:hAnsi="IRLotus" w:cs="IRLotus"/>
          <w:sz w:val="26"/>
          <w:szCs w:val="26"/>
        </w:rPr>
        <w:t>.</w:t>
      </w:r>
    </w:p>
    <w:p w14:paraId="29C605A5"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lastRenderedPageBreak/>
        <w:t>الوظيفة الإشارية أو الموجهة، المرتبطة بالمتلقي، تهدف إلى توجيه الخطاب، واستثارة الوعي أو التحفيز على فعل معين، وهو ما يظهر بوضوح في الحوارات التي تحمل دعوات للالتزام بالحق أو مقاومة الظلم، كما في خطاب الحسين في المسرحية، بينما تهتم الوظيفة الشعرية بشكل اللغة ذاته، وتهدف إلى الجمالية في صياغة الرسالة، فتضفي على النص بعدًا فنيًا يعمق المعنى ويثري التجربة الجمالية للمتلقي. الوظيفة الميتالسانية، المتعلقة بالرمز أو الشفرة، تسعى إلى توضيح المعاني وضمان فهمها، وتظهر في المسرح عندما يسعى الخطاب إلى تفسير المفاهيم الدينية أو الأخلاقية أو الفكرية، أما الوظيفة الانفعالية أو التفاعلية، المرتبطة بالقناة، فتهدف إلى إنشاء التواصل والحفاظ عليه أو إنهائه، وتبرز في المسرح لضبط العلاقة بين الشخصيات أو بين الممثل والجمهور، بما يضمن استمرار الانتباه والتفاعل النفسي أثناء العرض</w:t>
      </w:r>
      <w:r w:rsidRPr="00B264FA">
        <w:rPr>
          <w:rFonts w:ascii="IRLotus" w:hAnsi="IRLotus" w:cs="IRLotus"/>
          <w:sz w:val="26"/>
          <w:szCs w:val="26"/>
        </w:rPr>
        <w:t>.</w:t>
      </w:r>
    </w:p>
    <w:p w14:paraId="2CD34C95"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انطلاقًا من هذا الأساس، يسعى هذا البحث إلى مقاربة النص المسرحي من منظور نظرية التواصل اللغوي عند رومان جاكبسون، التي تعدّ من أهم الإسهامات البنيوية في دراسة اللغة والأدب. إذ يرى جاكبسون أن اللغة ليست أداة نقل للمعلومات فقط، بل هي منظومة تواصلية متعددة الوظائف، يقوم كلّ نص لغوي على تفاعلها. وقد حدّد ست وظائف لغوية رئيسة هي: المرجعية، والتعبيرية، والإشارية، والانفعالية، والميتالغوية، والشعرية، وكل وظيفة منها تعبّر عن جانب من جوانب العملية التواصلية بين المرسل والمتلقي والسياق والرسالة والقناة والرمز</w:t>
      </w:r>
      <w:r w:rsidRPr="00B264FA">
        <w:rPr>
          <w:rFonts w:ascii="IRLotus" w:hAnsi="IRLotus" w:cs="IRLotus"/>
          <w:sz w:val="26"/>
          <w:szCs w:val="26"/>
        </w:rPr>
        <w:t>.</w:t>
      </w:r>
    </w:p>
    <w:p w14:paraId="412DA81A"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إن تطبيق هذه النظرية على نص درامي ذي طبيعة فكرية ودينية مثل الحسين ثائرًا، يمكّننا من الكشف عن الأبعاد العميقة في بنية الخطاب المسرحي، وعن كيفية توظيف الشرقاوي لوظائف اللغة لخدمة غاياته الفكرية والروحية والجمالية. فالحسين في المسرحية ليس مجرد شخصية تاريخية، بل هو رمز ناطق يحمل رسالة إنسانية خالدة، واللغة التي يتحدث بها ليست مجرد أداة حوار، بل هي طاقة تواصلية تؤدي وظائفها على مستويات متعدّدة</w:t>
      </w:r>
      <w:r w:rsidRPr="00B264FA">
        <w:rPr>
          <w:rFonts w:ascii="IRLotus" w:hAnsi="IRLotus" w:cs="IRLotus"/>
          <w:sz w:val="26"/>
          <w:szCs w:val="26"/>
        </w:rPr>
        <w:t>.</w:t>
      </w:r>
      <w:r w:rsidRPr="00B264FA">
        <w:rPr>
          <w:rFonts w:ascii="IRLotus" w:hAnsi="IRLotus" w:cs="IRLotus"/>
          <w:sz w:val="26"/>
          <w:szCs w:val="26"/>
          <w:rtl/>
        </w:rPr>
        <w:t xml:space="preserve"> تنبع أهمية هذا البحث من كونه يدمج بين التحليل اللغوي والأسلوبي في ضوء نظرية جاكبسون، وبين القراءة الأدبية التي تضع النص في سياقه الفكري والثقافي. </w:t>
      </w:r>
    </w:p>
    <w:p w14:paraId="0F96BB39"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hint="cs"/>
          <w:b/>
          <w:bCs/>
          <w:sz w:val="26"/>
          <w:szCs w:val="26"/>
          <w:rtl/>
        </w:rPr>
        <w:t>منهجیة البحث</w:t>
      </w:r>
    </w:p>
    <w:p w14:paraId="24994204"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eastAsia="Traditional Arabic" w:hAnsi="IRLotus" w:cs="IRLotus"/>
          <w:noProof w:val="0"/>
          <w:sz w:val="26"/>
          <w:szCs w:val="26"/>
          <w:rtl/>
          <w:lang w:bidi="ar-SA"/>
        </w:rPr>
        <w:t xml:space="preserve">تعتمد هذه الدراسة علی المنهج الوصفي- التحليلي للكشف عن أهم </w:t>
      </w:r>
      <w:r w:rsidRPr="00B264FA">
        <w:rPr>
          <w:rFonts w:ascii="IRLotus" w:eastAsia="Traditional Arabic" w:hAnsi="IRLotus" w:cs="IRLotus" w:hint="cs"/>
          <w:noProof w:val="0"/>
          <w:sz w:val="26"/>
          <w:szCs w:val="26"/>
          <w:rtl/>
          <w:lang w:bidi="ar-SA"/>
        </w:rPr>
        <w:t xml:space="preserve">الوظائف اللغویة " </w:t>
      </w:r>
      <w:r w:rsidRPr="00B264FA">
        <w:rPr>
          <w:rFonts w:ascii="IRLotus" w:eastAsia="Traditional Arabic" w:hAnsi="IRLotus" w:cs="IRLotus"/>
          <w:noProof w:val="0"/>
          <w:sz w:val="26"/>
          <w:szCs w:val="26"/>
          <w:rtl/>
          <w:lang w:bidi="ar-SA"/>
        </w:rPr>
        <w:t>في</w:t>
      </w:r>
      <w:r w:rsidRPr="00B264FA">
        <w:rPr>
          <w:rFonts w:ascii="IRLotus" w:eastAsia="Traditional Arabic" w:hAnsi="IRLotus" w:cs="IRLotus" w:hint="cs"/>
          <w:noProof w:val="0"/>
          <w:sz w:val="26"/>
          <w:szCs w:val="26"/>
          <w:rtl/>
          <w:lang w:bidi="ar-SA"/>
        </w:rPr>
        <w:t xml:space="preserve"> "مسرحیة الحسین ثائرا لعبدالرحمن الشرقاوي</w:t>
      </w:r>
      <w:r w:rsidRPr="00B264FA">
        <w:rPr>
          <w:rFonts w:ascii="IRLotus" w:eastAsia="Traditional Arabic" w:hAnsi="IRLotus" w:cs="IRLotus"/>
          <w:noProof w:val="0"/>
          <w:sz w:val="26"/>
          <w:szCs w:val="26"/>
          <w:rtl/>
          <w:lang w:bidi="ar-SA"/>
        </w:rPr>
        <w:t xml:space="preserve"> ". وتسعى إلى معرفة الوسائل الفنية التي اعتمد عليها الكاتب في أدبه ا</w:t>
      </w:r>
      <w:r w:rsidRPr="00B264FA">
        <w:rPr>
          <w:rFonts w:ascii="IRLotus" w:eastAsia="Traditional Arabic" w:hAnsi="IRLotus" w:cs="IRLotus" w:hint="cs"/>
          <w:noProof w:val="0"/>
          <w:sz w:val="26"/>
          <w:szCs w:val="26"/>
          <w:rtl/>
          <w:lang w:bidi="ar-SA"/>
        </w:rPr>
        <w:t>لتواصلي</w:t>
      </w:r>
      <w:r w:rsidRPr="00B264FA">
        <w:rPr>
          <w:rFonts w:ascii="IRLotus" w:eastAsia="Traditional Arabic" w:hAnsi="IRLotus" w:cs="IRLotus"/>
          <w:noProof w:val="0"/>
          <w:sz w:val="26"/>
          <w:szCs w:val="26"/>
          <w:rtl/>
          <w:lang w:bidi="ar-SA"/>
        </w:rPr>
        <w:t xml:space="preserve">، مترافقاً مع تحليل المحتوى واستنباط النتائج من خلال دراسة النماذج المستخرجة من نصوص </w:t>
      </w:r>
      <w:r w:rsidRPr="00B264FA">
        <w:rPr>
          <w:rFonts w:ascii="IRLotus" w:eastAsia="Traditional Arabic" w:hAnsi="IRLotus" w:cs="IRLotus" w:hint="cs"/>
          <w:noProof w:val="0"/>
          <w:sz w:val="26"/>
          <w:szCs w:val="26"/>
          <w:rtl/>
          <w:lang w:bidi="ar-SA"/>
        </w:rPr>
        <w:t>المسرحیة</w:t>
      </w:r>
    </w:p>
    <w:p w14:paraId="268651CC"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خلفية البحث</w:t>
      </w:r>
    </w:p>
    <w:p w14:paraId="09FCB762"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 xml:space="preserve">1 بحث </w:t>
      </w:r>
      <w:r w:rsidRPr="00B264FA">
        <w:rPr>
          <w:rFonts w:ascii="IRLotus" w:hAnsi="IRLotus" w:cs="IRLotus"/>
          <w:b/>
          <w:bCs/>
          <w:sz w:val="26"/>
          <w:szCs w:val="26"/>
        </w:rPr>
        <w:t>"</w:t>
      </w:r>
      <w:r w:rsidRPr="00B264FA">
        <w:rPr>
          <w:rFonts w:ascii="IRLotus" w:hAnsi="IRLotus" w:cs="IRLotus"/>
          <w:b/>
          <w:bCs/>
          <w:sz w:val="26"/>
          <w:szCs w:val="26"/>
          <w:rtl/>
        </w:rPr>
        <w:t>بنية الخطاب في قصة موسى والخضر في سورة الكهف؛ دراسة تحليليّة على ضوء نظرية التواصل عند جاكبسون</w:t>
      </w:r>
      <w:r w:rsidRPr="00B264FA">
        <w:rPr>
          <w:rFonts w:ascii="IRLotus" w:hAnsi="IRLotus" w:cs="IRLotus"/>
          <w:b/>
          <w:bCs/>
          <w:sz w:val="26"/>
          <w:szCs w:val="26"/>
        </w:rPr>
        <w:t>"</w:t>
      </w:r>
      <w:r w:rsidRPr="00B264FA">
        <w:rPr>
          <w:rFonts w:ascii="IRLotus" w:hAnsi="IRLotus" w:cs="IRLotus"/>
          <w:sz w:val="26"/>
          <w:szCs w:val="26"/>
          <w:rtl/>
        </w:rPr>
        <w:t xml:space="preserve"> لدانا طالب بور، التي نشرت في مجلة </w:t>
      </w:r>
      <w:r w:rsidRPr="00B264FA">
        <w:rPr>
          <w:rFonts w:ascii="IRLotus" w:hAnsi="IRLotus" w:cs="IRLotus"/>
          <w:sz w:val="26"/>
          <w:szCs w:val="26"/>
          <w:rtl/>
        </w:rPr>
        <w:lastRenderedPageBreak/>
        <w:t>دراسات في اللغة العربية و آدابها بجامعة سمنان سنة15، العدد39ربيع و صيف 1403ه.ش. ركزت الدراسة على تحليل عناصر التواصل ووظائفها الست في قصة موسى والخضر في القرآن الكريم، متناولة كيفية استخدام النظرية لتقديم تفسير جديد للآيات. استنتجت الدراسة أن التواصل ثنائي الاتجاه كان أكثر وضوحًا في القصة، مما يعكس أهمية الوظيفة الإقناعية في هذا السياق</w:t>
      </w:r>
    </w:p>
    <w:p w14:paraId="3F13EDE3"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 xml:space="preserve">2 بحث </w:t>
      </w:r>
      <w:r w:rsidRPr="00B264FA">
        <w:rPr>
          <w:rFonts w:ascii="IRLotus" w:hAnsi="IRLotus" w:cs="IRLotus"/>
          <w:b/>
          <w:bCs/>
          <w:sz w:val="26"/>
          <w:szCs w:val="26"/>
        </w:rPr>
        <w:t>"</w:t>
      </w:r>
      <w:r w:rsidRPr="00B264FA">
        <w:rPr>
          <w:rFonts w:ascii="IRLotus" w:hAnsi="IRLotus" w:cs="IRLotus"/>
          <w:b/>
          <w:bCs/>
          <w:sz w:val="26"/>
          <w:szCs w:val="26"/>
          <w:rtl/>
        </w:rPr>
        <w:t>بنية التعبير في رواية عازف الغيوم لعلی بدر في ضوء نظرية التواصل اللغوي لجاكبسون</w:t>
      </w:r>
      <w:r w:rsidRPr="00B264FA">
        <w:rPr>
          <w:rFonts w:ascii="IRLotus" w:hAnsi="IRLotus" w:cs="IRLotus"/>
          <w:b/>
          <w:bCs/>
          <w:sz w:val="26"/>
          <w:szCs w:val="26"/>
        </w:rPr>
        <w:t>"</w:t>
      </w:r>
      <w:r w:rsidRPr="00B264FA">
        <w:rPr>
          <w:rFonts w:ascii="IRLotus" w:hAnsi="IRLotus" w:cs="IRLotus"/>
          <w:sz w:val="26"/>
          <w:szCs w:val="26"/>
          <w:rtl/>
        </w:rPr>
        <w:t xml:space="preserve"> لعبدالعزيز حمادي و آخرون؛ التي نشرت في مجلة بحوث في اللغة العربية بجامعة اصفهان العدد25، خريف و شتاء1400ه.ش. تناولت هذه الدراسة رواية علی بدر باستخدام نموذج جاكبسون، حيث حللت الحوار والسرد كأدوات للتواصل اللغوي والاجتماعي. أظهرت الدراسة توافق عناصر النظرية الست ووظائفها مع النص الروائي، مما يعكس دقة التعبير اللغوي في الرواية</w:t>
      </w:r>
      <w:r w:rsidRPr="00B264FA">
        <w:rPr>
          <w:rFonts w:ascii="IRLotus" w:hAnsi="IRLotus" w:cs="IRLotus"/>
          <w:sz w:val="26"/>
          <w:szCs w:val="26"/>
        </w:rPr>
        <w:t>.</w:t>
      </w:r>
      <w:r w:rsidRPr="00B264FA">
        <w:rPr>
          <w:rFonts w:ascii="IRLotus" w:hAnsi="IRLotus" w:cs="IRLotus"/>
          <w:sz w:val="26"/>
          <w:szCs w:val="26"/>
          <w:rtl/>
        </w:rPr>
        <w:t xml:space="preserve">  </w:t>
      </w:r>
    </w:p>
    <w:p w14:paraId="7A99FBA5" w14:textId="77777777" w:rsidR="006B5CA3" w:rsidRPr="00B264FA" w:rsidRDefault="006B5CA3" w:rsidP="006B5CA3">
      <w:pPr>
        <w:spacing w:after="0" w:line="240" w:lineRule="auto"/>
        <w:jc w:val="both"/>
        <w:rPr>
          <w:rFonts w:ascii="IRLotus" w:hAnsi="IRLotus" w:cs="IRLotus"/>
          <w:sz w:val="26"/>
          <w:szCs w:val="26"/>
        </w:rPr>
      </w:pPr>
    </w:p>
    <w:p w14:paraId="0057F583" w14:textId="77777777" w:rsidR="006B5CA3" w:rsidRPr="00B264FA" w:rsidRDefault="006B5CA3" w:rsidP="006B5CA3">
      <w:pPr>
        <w:pStyle w:val="ListParagraph"/>
        <w:numPr>
          <w:ilvl w:val="0"/>
          <w:numId w:val="15"/>
        </w:numPr>
        <w:spacing w:line="240" w:lineRule="auto"/>
        <w:jc w:val="both"/>
        <w:rPr>
          <w:rFonts w:ascii="IRLotus" w:hAnsi="IRLotus" w:cs="IRLotus"/>
          <w:sz w:val="26"/>
          <w:szCs w:val="26"/>
        </w:rPr>
      </w:pPr>
      <w:r w:rsidRPr="00B264FA">
        <w:rPr>
          <w:rFonts w:ascii="IRLotus" w:hAnsi="IRLotus" w:cs="IRLotus"/>
          <w:sz w:val="26"/>
          <w:szCs w:val="26"/>
          <w:rtl/>
        </w:rPr>
        <w:t xml:space="preserve">بحث تحليل </w:t>
      </w:r>
      <w:r w:rsidRPr="00B264FA">
        <w:rPr>
          <w:rFonts w:ascii="IRLotus" w:hAnsi="IRLotus" w:cs="IRLotus"/>
          <w:b/>
          <w:bCs/>
          <w:sz w:val="26"/>
          <w:szCs w:val="26"/>
          <w:rtl/>
        </w:rPr>
        <w:t>الوظائف اللغوية في رواية بقايا لروشا داخاز في ضوء نظرية التواصل لرومان جاكبسون</w:t>
      </w:r>
      <w:r w:rsidRPr="00B264FA">
        <w:rPr>
          <w:rFonts w:ascii="IRLotus" w:hAnsi="IRLotus" w:cs="IRLotus"/>
          <w:sz w:val="26"/>
          <w:szCs w:val="26"/>
          <w:rtl/>
        </w:rPr>
        <w:t xml:space="preserve"> للباحثة زينب مياحي التي نشرت في مجلة السردانية العربية لجامعة خوارزمي ،سنة 6، العدد 14 ، خريف 1403 ه.ش ، ركزت الباحثة في هذا علی تحليل عناصر الوظائف اللغوية الست لرومان جاكبسون واستخدمت الكاتبه عملية التواصل بعناصرها الست في روايتها فكان توجهها الی ماوراء النص والحوار فاهتمامها بالمتلقي كان جليا في سردها وحوارها </w:t>
      </w:r>
    </w:p>
    <w:p w14:paraId="49724CC6" w14:textId="77777777" w:rsidR="006B5CA3" w:rsidRPr="00B264FA" w:rsidRDefault="006B5CA3" w:rsidP="006B5CA3">
      <w:pPr>
        <w:pStyle w:val="ListParagraph"/>
        <w:numPr>
          <w:ilvl w:val="0"/>
          <w:numId w:val="15"/>
        </w:numPr>
        <w:spacing w:line="240" w:lineRule="auto"/>
        <w:jc w:val="both"/>
        <w:rPr>
          <w:rFonts w:ascii="IRLotus" w:hAnsi="IRLotus" w:cs="IRLotus"/>
          <w:sz w:val="26"/>
          <w:szCs w:val="26"/>
        </w:rPr>
      </w:pPr>
      <w:r w:rsidRPr="00B264FA">
        <w:rPr>
          <w:rFonts w:ascii="IRLotus" w:hAnsi="IRLotus" w:cs="IRLotus"/>
          <w:sz w:val="26"/>
          <w:szCs w:val="26"/>
          <w:rtl/>
        </w:rPr>
        <w:t xml:space="preserve"> بحث </w:t>
      </w:r>
      <w:r w:rsidRPr="00B264FA">
        <w:rPr>
          <w:rFonts w:ascii="IRLotus" w:hAnsi="IRLotus" w:cs="IRLotus"/>
          <w:sz w:val="26"/>
          <w:szCs w:val="26"/>
        </w:rPr>
        <w:t>"</w:t>
      </w:r>
      <w:r w:rsidRPr="00B264FA">
        <w:rPr>
          <w:rFonts w:ascii="IRLotus" w:hAnsi="IRLotus" w:cs="IRLotus"/>
          <w:b/>
          <w:bCs/>
          <w:sz w:val="26"/>
          <w:szCs w:val="26"/>
          <w:rtl/>
        </w:rPr>
        <w:t>وظائف اللغة وتوظيف الرسالة في خطابات سورة هود</w:t>
      </w:r>
      <w:r w:rsidRPr="00B264FA">
        <w:rPr>
          <w:rFonts w:ascii="IRLotus" w:hAnsi="IRLotus" w:cs="IRLotus"/>
          <w:b/>
          <w:bCs/>
          <w:sz w:val="26"/>
          <w:szCs w:val="26"/>
        </w:rPr>
        <w:t>"</w:t>
      </w:r>
      <w:r w:rsidRPr="00B264FA">
        <w:rPr>
          <w:rFonts w:ascii="IRLotus" w:hAnsi="IRLotus" w:cs="IRLotus"/>
          <w:sz w:val="26"/>
          <w:szCs w:val="26"/>
          <w:rtl/>
        </w:rPr>
        <w:t xml:space="preserve"> لعبدالباسط عرب يوسف آبادي، التي نشرت في مجلة بحوث في اللغة العربية بجامعة اصفهان المجلد15، العدد28، ربيع و صيف1402ه.ش. حللت هذه الدراسة خطابات في سورة هود وفقًا لنظرية جاكبسون، مشيرة إلى كيفية توظيف الوظائف المختلفة في تعزيز المعاني البلاغية وإيصال الرسالة إلى المتلقي</w:t>
      </w:r>
      <w:r w:rsidRPr="00B264FA">
        <w:rPr>
          <w:rFonts w:ascii="IRLotus" w:eastAsia="MS Mincho" w:hAnsi="IRLotus" w:cs="IRLotus"/>
          <w:sz w:val="26"/>
          <w:szCs w:val="26"/>
          <w:rtl/>
        </w:rPr>
        <w:t>.</w:t>
      </w:r>
    </w:p>
    <w:p w14:paraId="451B1170" w14:textId="60508C0D" w:rsidR="00003E91" w:rsidRPr="00311A8A" w:rsidRDefault="00003E91" w:rsidP="00003E91">
      <w:pPr>
        <w:pStyle w:val="ListParagraph"/>
        <w:numPr>
          <w:ilvl w:val="0"/>
          <w:numId w:val="15"/>
        </w:numPr>
        <w:spacing w:line="240" w:lineRule="auto"/>
        <w:jc w:val="both"/>
        <w:rPr>
          <w:rFonts w:ascii="IRLotus" w:hAnsi="IRLotus" w:cs="IRLotus"/>
          <w:sz w:val="26"/>
          <w:szCs w:val="26"/>
          <w:highlight w:val="yellow"/>
        </w:rPr>
      </w:pPr>
      <w:r w:rsidRPr="00311A8A">
        <w:rPr>
          <w:rFonts w:ascii="IRLotus" w:hAnsi="IRLotus" w:cs="IRLotus" w:hint="cs"/>
          <w:sz w:val="26"/>
          <w:szCs w:val="26"/>
          <w:highlight w:val="yellow"/>
          <w:rtl/>
        </w:rPr>
        <w:t xml:space="preserve">بحث بعنوان </w:t>
      </w:r>
      <w:r w:rsidRPr="00311A8A">
        <w:rPr>
          <w:rFonts w:ascii="IRLotus" w:hAnsi="IRLotus" w:cs="IRLotus" w:hint="cs"/>
          <w:b/>
          <w:bCs/>
          <w:sz w:val="26"/>
          <w:szCs w:val="26"/>
          <w:highlight w:val="yellow"/>
          <w:rtl/>
        </w:rPr>
        <w:t>تمظهرات الاستلزام الحواری فی المظهر الثانی من مسرحیة الحسین ثائرا لعبدالرحمن الشرقاوی علی ضوء نظریة غرایس</w:t>
      </w:r>
      <w:r w:rsidRPr="00311A8A">
        <w:rPr>
          <w:rFonts w:ascii="IRLotus" w:hAnsi="IRLotus" w:cs="IRLotus" w:hint="cs"/>
          <w:sz w:val="26"/>
          <w:szCs w:val="26"/>
          <w:highlight w:val="yellow"/>
          <w:rtl/>
        </w:rPr>
        <w:t xml:space="preserve"> لسید احمد موسوی پناه شتاء 1403، نتوصل من خلال هذا البحث مدی تأثیر نظریة غرایس علی مسرحیة الحسین ثائرا والباحث یعین المظاهر والنماذج الموجوده بشکل جید </w:t>
      </w:r>
    </w:p>
    <w:p w14:paraId="78D482D3" w14:textId="1D498A54" w:rsidR="006B5CA3" w:rsidRPr="00B264FA" w:rsidRDefault="006B5CA3" w:rsidP="006B5CA3">
      <w:pPr>
        <w:pStyle w:val="ListParagraph"/>
        <w:numPr>
          <w:ilvl w:val="0"/>
          <w:numId w:val="15"/>
        </w:numPr>
        <w:spacing w:line="240" w:lineRule="auto"/>
        <w:jc w:val="both"/>
        <w:rPr>
          <w:rFonts w:ascii="IRLotus" w:hAnsi="IRLotus" w:cs="IRLotus"/>
          <w:b/>
          <w:bCs/>
          <w:sz w:val="26"/>
          <w:szCs w:val="26"/>
          <w:rtl/>
        </w:rPr>
      </w:pPr>
      <w:r w:rsidRPr="00B264FA">
        <w:rPr>
          <w:rFonts w:ascii="IRLotus" w:hAnsi="IRLotus" w:cs="IRLotus"/>
          <w:sz w:val="26"/>
          <w:szCs w:val="26"/>
          <w:rtl/>
        </w:rPr>
        <w:t xml:space="preserve">من </w:t>
      </w:r>
      <w:r w:rsidR="005F6711" w:rsidRPr="00B264FA">
        <w:rPr>
          <w:rFonts w:ascii="IRLotus" w:hAnsi="IRLotus" w:cs="IRLotus" w:hint="cs"/>
          <w:sz w:val="26"/>
          <w:szCs w:val="26"/>
          <w:rtl/>
        </w:rPr>
        <w:t>أ</w:t>
      </w:r>
      <w:r w:rsidRPr="00B264FA">
        <w:rPr>
          <w:rFonts w:ascii="IRLotus" w:hAnsi="IRLotus" w:cs="IRLotus"/>
          <w:sz w:val="26"/>
          <w:szCs w:val="26"/>
          <w:rtl/>
        </w:rPr>
        <w:t xml:space="preserve">هم المصادر </w:t>
      </w:r>
      <w:r w:rsidR="005F6711" w:rsidRPr="00B264FA">
        <w:rPr>
          <w:rFonts w:ascii="IRLotus" w:hAnsi="IRLotus" w:cs="IRLotus" w:hint="cs"/>
          <w:sz w:val="26"/>
          <w:szCs w:val="26"/>
          <w:rtl/>
        </w:rPr>
        <w:t>أ</w:t>
      </w:r>
      <w:r w:rsidRPr="00B264FA">
        <w:rPr>
          <w:rFonts w:ascii="IRLotus" w:hAnsi="IRLotus" w:cs="IRLotus"/>
          <w:sz w:val="26"/>
          <w:szCs w:val="26"/>
          <w:rtl/>
        </w:rPr>
        <w:t xml:space="preserve">يضا هو كتاب </w:t>
      </w:r>
      <w:r w:rsidRPr="00B264FA">
        <w:rPr>
          <w:rFonts w:ascii="IRLotus" w:hAnsi="IRLotus" w:cs="IRLotus"/>
          <w:b/>
          <w:bCs/>
          <w:sz w:val="26"/>
          <w:szCs w:val="26"/>
          <w:rtl/>
        </w:rPr>
        <w:t xml:space="preserve">القضايا الشعرية لرومان جاكبسون </w:t>
      </w:r>
      <w:r w:rsidRPr="00B264FA">
        <w:rPr>
          <w:rFonts w:ascii="IRLotus" w:hAnsi="IRLotus" w:cs="IRLotus"/>
          <w:sz w:val="26"/>
          <w:szCs w:val="26"/>
          <w:rtl/>
        </w:rPr>
        <w:t>، ترجمة محمد الوالي ومبارك حنون 1988م الذي تم نشره ضمن السلسلة المعرفة الادبية الذي تطرف فيه الكاتب الى دلالات الشعر وعلاقاته باللسانيات كما خصص مبحثا بالتوازي ، فيدخل هذا الكتاب في اطار اللغة العربية بوجه خاص ويكون وثيق الصلة بالتخصصات نحو الشعر والنثر والبلاغة والادب فيكون موضع اهتمام الباحثين في  هذا المجال .</w:t>
      </w:r>
    </w:p>
    <w:p w14:paraId="0BABDD47"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 xml:space="preserve">الاطار النظري </w:t>
      </w:r>
    </w:p>
    <w:p w14:paraId="5B54B3C0" w14:textId="4B4A2D58"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lastRenderedPageBreak/>
        <w:t xml:space="preserve">تُعدّ نظرية التواصل اللغوي التي وضعها رومان جاكبسون من أبرز الإسهامات اللسانية في القرن العشرين، لما أحدثته من تحوّل جوهري في فهم اللغة كظاهرة متعددة الوظائف تتجاوز مجرد نقل المعلومات إلى كونها وسيلة تعبيرية وإبداعية في الوقت ذاته. و ان التواصل بمعناه اللغوي ورد في لسان العرب مشتق من مادة (و.ص.ل) علی صيغة التفاعل الذي يفيد الاقتران والاتصال والصلة والترابط والتتابع </w:t>
      </w:r>
      <w:r w:rsidRPr="00B264FA">
        <w:rPr>
          <w:rFonts w:ascii="IRLotus" w:hAnsi="IRLotus" w:cs="IRLotus"/>
          <w:sz w:val="26"/>
          <w:szCs w:val="26"/>
          <w:highlight w:val="yellow"/>
          <w:rtl/>
        </w:rPr>
        <w:t>و</w:t>
      </w:r>
      <w:r w:rsidR="00204431" w:rsidRPr="00B264FA">
        <w:rPr>
          <w:rFonts w:ascii="IRLotus" w:hAnsi="IRLotus" w:cs="IRLotus"/>
          <w:sz w:val="26"/>
          <w:szCs w:val="26"/>
          <w:highlight w:val="yellow"/>
          <w:rtl/>
        </w:rPr>
        <w:t>ال</w:t>
      </w:r>
      <w:r w:rsidR="00204431" w:rsidRPr="00B264FA">
        <w:rPr>
          <w:rFonts w:ascii="IRLotus" w:hAnsi="IRLotus" w:cs="IRLotus" w:hint="cs"/>
          <w:sz w:val="26"/>
          <w:szCs w:val="26"/>
          <w:highlight w:val="yellow"/>
          <w:rtl/>
        </w:rPr>
        <w:t>إ</w:t>
      </w:r>
      <w:r w:rsidRPr="00B264FA">
        <w:rPr>
          <w:rFonts w:ascii="IRLotus" w:hAnsi="IRLotus" w:cs="IRLotus"/>
          <w:sz w:val="26"/>
          <w:szCs w:val="26"/>
          <w:highlight w:val="yellow"/>
          <w:rtl/>
        </w:rPr>
        <w:t>بلاغ</w:t>
      </w:r>
      <w:r w:rsidRPr="00B264FA">
        <w:rPr>
          <w:rFonts w:ascii="IRLotus" w:hAnsi="IRLotus" w:cs="IRLotus"/>
          <w:sz w:val="26"/>
          <w:szCs w:val="26"/>
          <w:rtl/>
        </w:rPr>
        <w:t xml:space="preserve"> ( ابن منظور711ه: 115) وجاء </w:t>
      </w:r>
      <w:r w:rsidR="00204431" w:rsidRPr="00B264FA">
        <w:rPr>
          <w:rFonts w:ascii="IRLotus" w:hAnsi="IRLotus" w:cs="IRLotus" w:hint="cs"/>
          <w:sz w:val="26"/>
          <w:szCs w:val="26"/>
          <w:highlight w:val="yellow"/>
          <w:rtl/>
        </w:rPr>
        <w:t>أ</w:t>
      </w:r>
      <w:r w:rsidRPr="00B264FA">
        <w:rPr>
          <w:rFonts w:ascii="IRLotus" w:hAnsi="IRLotus" w:cs="IRLotus"/>
          <w:sz w:val="26"/>
          <w:szCs w:val="26"/>
          <w:highlight w:val="yellow"/>
          <w:rtl/>
        </w:rPr>
        <w:t>يضا</w:t>
      </w:r>
      <w:r w:rsidRPr="00B264FA">
        <w:rPr>
          <w:rFonts w:ascii="IRLotus" w:hAnsi="IRLotus" w:cs="IRLotus"/>
          <w:sz w:val="26"/>
          <w:szCs w:val="26"/>
          <w:rtl/>
        </w:rPr>
        <w:t xml:space="preserve"> حمداوي </w:t>
      </w:r>
      <w:r w:rsidRPr="00B264FA">
        <w:rPr>
          <w:rFonts w:ascii="IRLotus" w:hAnsi="IRLotus" w:cs="IRLotus"/>
          <w:sz w:val="26"/>
          <w:szCs w:val="26"/>
          <w:highlight w:val="yellow"/>
          <w:rtl/>
        </w:rPr>
        <w:t>ب</w:t>
      </w:r>
      <w:r w:rsidR="00204431" w:rsidRPr="00B264FA">
        <w:rPr>
          <w:rFonts w:ascii="IRLotus" w:hAnsi="IRLotus" w:cs="IRLotus" w:hint="cs"/>
          <w:sz w:val="26"/>
          <w:szCs w:val="26"/>
          <w:highlight w:val="yellow"/>
          <w:rtl/>
        </w:rPr>
        <w:t>أ</w:t>
      </w:r>
      <w:r w:rsidRPr="00B264FA">
        <w:rPr>
          <w:rFonts w:ascii="IRLotus" w:hAnsi="IRLotus" w:cs="IRLotus"/>
          <w:sz w:val="26"/>
          <w:szCs w:val="26"/>
          <w:highlight w:val="yellow"/>
          <w:rtl/>
        </w:rPr>
        <w:t>ن</w:t>
      </w:r>
      <w:r w:rsidR="00204431" w:rsidRPr="00B264FA">
        <w:rPr>
          <w:rFonts w:ascii="IRLotus" w:hAnsi="IRLotus" w:cs="IRLotus" w:hint="cs"/>
          <w:sz w:val="26"/>
          <w:szCs w:val="26"/>
          <w:rtl/>
        </w:rPr>
        <w:t>َ</w:t>
      </w:r>
      <w:r w:rsidRPr="00B264FA">
        <w:rPr>
          <w:rFonts w:ascii="IRLotus" w:hAnsi="IRLotus" w:cs="IRLotus"/>
          <w:sz w:val="26"/>
          <w:szCs w:val="26"/>
          <w:rtl/>
        </w:rPr>
        <w:t xml:space="preserve"> التواصل تبادل كلامي بين ذات  متكلمة تنتج موجها الى ذات متكلمة اخرى ترغب في السماع او في اجابة واضحة او ضمنية على حسب النموذج  الملفوظ من المتكلم (حمداوي2008م:78) فقد انتقل جاكبسون باللغة من كونها أداة للإخبار إلى تصور دينامي متكامل، يرى فيها منظومة تواصليّة تتفاعل عناصرها المختلفة داخل أي فعل لغوي، ويقوم كل نص لغوي على تداخل وظائفها، مما يمنحه قدرة على التعبير عن المعنى والفكرة والموقف في آن واحد وفي قرن العشرين تحولت نظرية التواصل بيد دي سوسير «</w:t>
      </w:r>
      <w:r w:rsidR="00204431" w:rsidRPr="00B264FA">
        <w:rPr>
          <w:rFonts w:ascii="IRLotus" w:hAnsi="IRLotus" w:cs="IRLotus"/>
          <w:sz w:val="26"/>
          <w:szCs w:val="26"/>
          <w:highlight w:val="yellow"/>
          <w:rtl/>
        </w:rPr>
        <w:t>ب</w:t>
      </w:r>
      <w:r w:rsidR="00204431" w:rsidRPr="00B264FA">
        <w:rPr>
          <w:rFonts w:ascii="IRLotus" w:hAnsi="IRLotus" w:cs="IRLotus" w:hint="cs"/>
          <w:sz w:val="26"/>
          <w:szCs w:val="26"/>
          <w:highlight w:val="yellow"/>
          <w:rtl/>
        </w:rPr>
        <w:t>أ</w:t>
      </w:r>
      <w:r w:rsidRPr="00B264FA">
        <w:rPr>
          <w:rFonts w:ascii="IRLotus" w:hAnsi="IRLotus" w:cs="IRLotus"/>
          <w:sz w:val="26"/>
          <w:szCs w:val="26"/>
          <w:highlight w:val="yellow"/>
          <w:rtl/>
        </w:rPr>
        <w:t>ن</w:t>
      </w:r>
      <w:r w:rsidR="00003E91" w:rsidRPr="00B264FA">
        <w:rPr>
          <w:rFonts w:ascii="IRLotus" w:hAnsi="IRLotus" w:cs="IRLotus" w:hint="cs"/>
          <w:sz w:val="26"/>
          <w:szCs w:val="26"/>
          <w:rtl/>
        </w:rPr>
        <w:t>َ</w:t>
      </w:r>
      <w:r w:rsidRPr="00B264FA">
        <w:rPr>
          <w:rFonts w:ascii="IRLotus" w:hAnsi="IRLotus" w:cs="IRLotus"/>
          <w:sz w:val="26"/>
          <w:szCs w:val="26"/>
          <w:rtl/>
        </w:rPr>
        <w:t xml:space="preserve"> للغة ظاهرة اجتماعية تستخدم غرض التفاهم المتبادل بالارتباط بين الصوت والمعني يجب ان يتولد في العقل لانه ذو اهمية حاسمة في عملية التواصل» (افيتش 2000م:194)</w:t>
      </w:r>
    </w:p>
    <w:p w14:paraId="5B80A71D"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يؤكد جاكبسون أن هذه الوظائف لا تعمل بمعزل عن بعضها، بل تتداخل وتتساند داخل النص الواحد، بحيث يغلب على النص الأدبي تداخل الوظائف، فتتفاعل الوظائف التعبيرية مع المرجعية والشعرية والانفعالية والميتالغوية والإشارية لتخلق نصًا غنيًا متنوع الأبعاد، يحمل رسائل متعددة في الوقت ذاته. ومن هذا المنطلق، يظهر المسرح الشعري، وخصوصًا مسرحية "الحسين ثائرًا"، كمساحة يمكن فيها دراسة تفاعل الوظائف اللغوية الستة في نص واحد، وتقييم كيفية استخدام الكاتب للغة كأداة تواصلية متكاملة تعكس الفكر والموقف الفني والإنساني في آن واحد</w:t>
      </w:r>
      <w:r w:rsidRPr="00B264FA">
        <w:rPr>
          <w:rFonts w:ascii="IRLotus" w:hAnsi="IRLotus" w:cs="IRLotus"/>
          <w:sz w:val="26"/>
          <w:szCs w:val="26"/>
        </w:rPr>
        <w:t>.</w:t>
      </w:r>
    </w:p>
    <w:p w14:paraId="7197DF9F"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إن فهم هذه النظرية يوفر للباحث أدوات تحليلية دقيقة لفك بنية النص المسرحي، والوقوف على أبعاده الفكرية والجمالية، والكشف عن الكيفية التي يوظف فيها الكاتب اللغة لتحقيق أهدافه التواصلية والفنية، بما يجعل المسرحية نصًا غنيًا بالمعاني والرموز والدلالات الإنسانية، ومثالًا حيًا على تفاعل الوظائف اللغوية في سياق أدبي راقٍ</w:t>
      </w:r>
      <w:r w:rsidRPr="00B264FA">
        <w:rPr>
          <w:rFonts w:ascii="IRLotus" w:hAnsi="IRLotus" w:cs="IRLotus"/>
          <w:sz w:val="26"/>
          <w:szCs w:val="26"/>
        </w:rPr>
        <w:t>.</w:t>
      </w:r>
    </w:p>
    <w:p w14:paraId="6A6AB9AA" w14:textId="77777777" w:rsidR="006B5CA3" w:rsidRPr="00B264FA" w:rsidRDefault="006B5CA3" w:rsidP="006B5CA3">
      <w:pPr>
        <w:spacing w:line="240" w:lineRule="auto"/>
        <w:jc w:val="both"/>
        <w:rPr>
          <w:rFonts w:ascii="IRLotus" w:hAnsi="IRLotus" w:cs="IRLotus"/>
          <w:sz w:val="26"/>
          <w:szCs w:val="26"/>
          <w:rtl/>
        </w:rPr>
      </w:pPr>
    </w:p>
    <w:p w14:paraId="1B61A5F9"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الوظيفه التعبيرية </w:t>
      </w:r>
    </w:p>
    <w:p w14:paraId="0C28F490" w14:textId="1A6B5AB4" w:rsidR="006B5CA3" w:rsidRPr="00B264FA" w:rsidRDefault="006B5CA3" w:rsidP="006B5CA3">
      <w:pPr>
        <w:spacing w:line="240" w:lineRule="auto"/>
        <w:jc w:val="both"/>
        <w:rPr>
          <w:rFonts w:ascii="IRLotus" w:hAnsi="IRLotus" w:cs="IRLotus"/>
          <w:b/>
          <w:bCs/>
          <w:sz w:val="26"/>
          <w:szCs w:val="26"/>
        </w:rPr>
      </w:pPr>
      <w:r w:rsidRPr="00B264FA">
        <w:rPr>
          <w:rFonts w:ascii="IRLotus" w:hAnsi="IRLotus" w:cs="IRLotus"/>
          <w:b/>
          <w:bCs/>
          <w:sz w:val="26"/>
          <w:szCs w:val="26"/>
          <w:rtl/>
        </w:rPr>
        <w:t xml:space="preserve"> </w:t>
      </w:r>
      <w:r w:rsidRPr="00B264FA">
        <w:rPr>
          <w:rFonts w:ascii="IRLotus" w:hAnsi="IRLotus" w:cs="IRLotus"/>
          <w:sz w:val="26"/>
          <w:szCs w:val="26"/>
          <w:rtl/>
        </w:rPr>
        <w:t xml:space="preserve">يُعَدّ الخطابُ اللغويّ ظاهرةً متعددة الأبعاد تتجاوز الإطار التركيبي إلى ما هو أعمق، حيث تتداخل الوظائف التواصلية في تشكيل المعنى وتوجيهه نحو غايات تتفاوت بين التعبير، والتأثير، والإخبار، والتنظيم، والجمال. وفي هذا السياق، تُمثّل الوظيفة التعبيرية – أو الانفعالية – إحدى الركائز الجوهرية في نموذج رومان جاكبسون للوظائف اللغوية، إذ تُسلّط الضوء على البُعد الذاتي للخطاب، وتمنح المتكلم دورًا مركزيًا بوصفه كائنًا شعوريًا تُجسّد اللغة في خطابه انفعالاته ومواقفه الداخلية وايضا </w:t>
      </w:r>
      <w:r w:rsidRPr="00B264FA">
        <w:rPr>
          <w:rFonts w:ascii="IRLotus" w:hAnsi="IRLotus" w:cs="IRLotus"/>
          <w:sz w:val="26"/>
          <w:szCs w:val="26"/>
          <w:rtl/>
        </w:rPr>
        <w:lastRenderedPageBreak/>
        <w:t xml:space="preserve">«تشير اللغه في هذه الوظيفة التي تسمي </w:t>
      </w:r>
      <w:r w:rsidR="00204431" w:rsidRPr="00B264FA">
        <w:rPr>
          <w:rFonts w:ascii="IRLotus" w:hAnsi="IRLotus" w:cs="IRLotus" w:hint="cs"/>
          <w:sz w:val="26"/>
          <w:szCs w:val="26"/>
          <w:highlight w:val="yellow"/>
          <w:rtl/>
        </w:rPr>
        <w:t>أ</w:t>
      </w:r>
      <w:r w:rsidRPr="00B264FA">
        <w:rPr>
          <w:rFonts w:ascii="IRLotus" w:hAnsi="IRLotus" w:cs="IRLotus"/>
          <w:sz w:val="26"/>
          <w:szCs w:val="26"/>
          <w:highlight w:val="yellow"/>
          <w:rtl/>
        </w:rPr>
        <w:t>يضا</w:t>
      </w:r>
      <w:r w:rsidRPr="00B264FA">
        <w:rPr>
          <w:rFonts w:ascii="IRLotus" w:hAnsi="IRLotus" w:cs="IRLotus"/>
          <w:sz w:val="26"/>
          <w:szCs w:val="26"/>
          <w:rtl/>
        </w:rPr>
        <w:t xml:space="preserve"> الانفعاليه </w:t>
      </w:r>
      <w:r w:rsidR="00204431" w:rsidRPr="00B264FA">
        <w:rPr>
          <w:rFonts w:ascii="IRLotus" w:hAnsi="IRLotus" w:cs="IRLotus" w:hint="cs"/>
          <w:sz w:val="26"/>
          <w:szCs w:val="26"/>
          <w:highlight w:val="yellow"/>
          <w:rtl/>
        </w:rPr>
        <w:t>أ</w:t>
      </w:r>
      <w:r w:rsidRPr="00B264FA">
        <w:rPr>
          <w:rFonts w:ascii="IRLotus" w:hAnsi="IRLotus" w:cs="IRLotus"/>
          <w:sz w:val="26"/>
          <w:szCs w:val="26"/>
          <w:highlight w:val="yellow"/>
          <w:rtl/>
        </w:rPr>
        <w:t>و</w:t>
      </w:r>
      <w:r w:rsidRPr="00B264FA">
        <w:rPr>
          <w:rFonts w:ascii="IRLotus" w:hAnsi="IRLotus" w:cs="IRLotus"/>
          <w:sz w:val="26"/>
          <w:szCs w:val="26"/>
          <w:rtl/>
        </w:rPr>
        <w:t xml:space="preserve"> العاطفيه الي موقف المرسل من مختلف القضايا التي يتحدث عنها</w:t>
      </w:r>
      <w:r w:rsidR="00C62A7A" w:rsidRPr="00B264FA">
        <w:rPr>
          <w:rFonts w:ascii="IRLotus" w:hAnsi="IRLotus" w:cs="IRLotus" w:hint="cs"/>
          <w:sz w:val="26"/>
          <w:szCs w:val="26"/>
          <w:rtl/>
        </w:rPr>
        <w:t>»</w:t>
      </w:r>
      <w:r w:rsidRPr="00B264FA">
        <w:rPr>
          <w:rFonts w:ascii="IRLotus" w:hAnsi="IRLotus" w:cs="IRLotus"/>
          <w:sz w:val="26"/>
          <w:szCs w:val="26"/>
          <w:rtl/>
        </w:rPr>
        <w:t>( منقور 2001م،ص66)</w:t>
      </w:r>
    </w:p>
    <w:p w14:paraId="1A3AE725"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وتكمن أهمية الوظيفة التعبيرية في قدرتها على إظهار العلاقة النفسية والوجدانية بين المتكلم والرسالة التي يبلّغها، فهي لا تكتفي بنقل المعلومات أو التأثير في المتلقي فحسب، بل تُبرز درجة انخراط المرسِل في ما يقوله، وتُضفي على الخطاب بعدًا إنسانيًا شخصيًا لا يمكن إغفاله</w:t>
      </w:r>
    </w:p>
    <w:p w14:paraId="60C23E12" w14:textId="1F40F3CF"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الوظيفة ا</w:t>
      </w:r>
      <w:r w:rsidR="00204431" w:rsidRPr="00B264FA">
        <w:rPr>
          <w:rFonts w:ascii="IRLotus" w:hAnsi="IRLotus" w:cs="IRLotus"/>
          <w:b/>
          <w:bCs/>
          <w:sz w:val="26"/>
          <w:szCs w:val="26"/>
          <w:rtl/>
        </w:rPr>
        <w:t>ل</w:t>
      </w:r>
      <w:r w:rsidR="00204431" w:rsidRPr="00B264FA">
        <w:rPr>
          <w:rFonts w:ascii="IRLotus" w:hAnsi="IRLotus" w:cs="IRLotus" w:hint="cs"/>
          <w:b/>
          <w:bCs/>
          <w:sz w:val="26"/>
          <w:szCs w:val="26"/>
          <w:rtl/>
        </w:rPr>
        <w:t>إ</w:t>
      </w:r>
      <w:r w:rsidRPr="00B264FA">
        <w:rPr>
          <w:rFonts w:ascii="IRLotus" w:hAnsi="IRLotus" w:cs="IRLotus"/>
          <w:b/>
          <w:bCs/>
          <w:sz w:val="26"/>
          <w:szCs w:val="26"/>
          <w:rtl/>
        </w:rPr>
        <w:t>فهامية</w:t>
      </w:r>
    </w:p>
    <w:p w14:paraId="16D42B42" w14:textId="77777777" w:rsidR="006B5CA3" w:rsidRPr="00B264FA" w:rsidRDefault="006B5CA3" w:rsidP="006B5CA3">
      <w:pPr>
        <w:spacing w:line="240" w:lineRule="auto"/>
        <w:jc w:val="both"/>
        <w:rPr>
          <w:rFonts w:ascii="IRLotus" w:hAnsi="IRLotus" w:cs="IRLotus"/>
          <w:b/>
          <w:bCs/>
          <w:sz w:val="26"/>
          <w:szCs w:val="26"/>
        </w:rPr>
      </w:pPr>
      <w:r w:rsidRPr="00B264FA">
        <w:rPr>
          <w:rFonts w:ascii="IRLotus" w:hAnsi="IRLotus" w:cs="IRLotus"/>
          <w:sz w:val="26"/>
          <w:szCs w:val="26"/>
          <w:rtl/>
        </w:rPr>
        <w:t>تمثل الوظيفة الإفهامية واحدة من الركائز الأساسية في النظرية التواصلية التي صاغها اللغوي البنيوي رومان جاكبسون ، والتي تُعدّ من أبرز الإسهامات اللسانية في القرن العشرين في مجال تحليل الخطاب. وتتمثل أهمية هذه الوظيفة في كونها تمثل الوجه الإخباري أو الإخباري-الموضوعي للغة، حيث تركّز على "المحتوى "الذي تُنقَل عبره الرسالة، أو "المرجِع" الذي تشير إليه داخل السياق. تتميز هذه الوظيفة بتركيزها علی المرسل اليه « قد تهيمن هذه الوظيفة في خطاب ما عندما يكون الخطاب مركزا علی المتلقي»(حسانی 2013م، ص74) ويُعتبر تحليل هذه الوظيفة أمرًا جوهريًا في فهم الآلية التي تشتغل بها اللغة في بنيتها التقريرية، وفي تمييزها عن بقية الوظائف اللغوية التي تُعنى بالمرسِل أو المتلقي أو الرسالة أو الوسيلة أو السياق التواصلي وعلی اساس راي جاكبسون «ان هذه الوظيفة تتجه نحو المرسل اليه ويكون تعبيره النحوي الاكثر خلوصا في الامر والنداء»</w:t>
      </w:r>
      <w:r w:rsidR="00C62A7A" w:rsidRPr="00B264FA">
        <w:rPr>
          <w:rFonts w:ascii="IRLotus" w:hAnsi="IRLotus" w:cs="IRLotus" w:hint="cs"/>
          <w:sz w:val="26"/>
          <w:szCs w:val="26"/>
          <w:rtl/>
        </w:rPr>
        <w:t>(</w:t>
      </w:r>
      <w:r w:rsidRPr="00B264FA">
        <w:rPr>
          <w:rFonts w:ascii="IRLotus" w:hAnsi="IRLotus" w:cs="IRLotus"/>
          <w:sz w:val="26"/>
          <w:szCs w:val="26"/>
          <w:rtl/>
        </w:rPr>
        <w:t xml:space="preserve">جاكبسون 1988م، ص29) </w:t>
      </w:r>
    </w:p>
    <w:p w14:paraId="648C39F9" w14:textId="68106865"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الوظيفة ال</w:t>
      </w:r>
      <w:r w:rsidR="005F6711" w:rsidRPr="00B264FA">
        <w:rPr>
          <w:rFonts w:ascii="IRLotus" w:hAnsi="IRLotus" w:cs="IRLotus" w:hint="cs"/>
          <w:b/>
          <w:bCs/>
          <w:sz w:val="26"/>
          <w:szCs w:val="26"/>
          <w:rtl/>
        </w:rPr>
        <w:t>إ</w:t>
      </w:r>
      <w:r w:rsidRPr="00B264FA">
        <w:rPr>
          <w:rFonts w:ascii="IRLotus" w:hAnsi="IRLotus" w:cs="IRLotus"/>
          <w:b/>
          <w:bCs/>
          <w:sz w:val="26"/>
          <w:szCs w:val="26"/>
          <w:rtl/>
        </w:rPr>
        <w:t xml:space="preserve">نتباهية </w:t>
      </w:r>
    </w:p>
    <w:p w14:paraId="7298EBBB"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sz w:val="26"/>
          <w:szCs w:val="26"/>
          <w:rtl/>
        </w:rPr>
        <w:t xml:space="preserve">تُعدّ الوظيفة الانتباهية، التي يُشار إليها أيضًا بالوظيفة التوجيهية أو الإيعازية، واحدةً من أبرز الوظائف التواصلية في النموذج اللساني الذي قدّمه رومان جاكبسون، « تتعلق هذه الوظيفة بالقناه ويطلق عليها وظيفة اقامه الاتصال مع الطرف الثاني (المرسل اليه) عن طريق الفاظ والتعابير تتيح للمرسل الاستمرار في الاتصال او قطعه»( جاكبسون 1988م، ص30) والذي يقوم على تصوّر شامل للتواصل اللغوي باعتباره منظومةً متكاملة تؤدي فيها كل وظيفة دورًا خاصًا يساهم في تشكيل بنية الخطاب وتحديد غايته. </w:t>
      </w:r>
    </w:p>
    <w:p w14:paraId="6F9862CF"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الوظيفة الميتالسانية</w:t>
      </w:r>
    </w:p>
    <w:p w14:paraId="4413A565" w14:textId="36CC9F1E" w:rsidR="006B5CA3" w:rsidRPr="00B264FA" w:rsidRDefault="006B5CA3" w:rsidP="00C62A7A">
      <w:pPr>
        <w:spacing w:line="240" w:lineRule="auto"/>
        <w:jc w:val="both"/>
        <w:rPr>
          <w:rFonts w:ascii="IRLotus" w:hAnsi="IRLotus" w:cs="IRLotus"/>
          <w:sz w:val="26"/>
          <w:szCs w:val="26"/>
        </w:rPr>
      </w:pPr>
      <w:r w:rsidRPr="00B264FA">
        <w:rPr>
          <w:rFonts w:ascii="IRLotus" w:hAnsi="IRLotus" w:cs="IRLotus"/>
          <w:sz w:val="26"/>
          <w:szCs w:val="26"/>
          <w:rtl/>
        </w:rPr>
        <w:t xml:space="preserve">تُعدّ الوظيفة الميتالسانية (الميتالغوية) واحدة من الوظائف الست التي صاغها اللغوي رومان جاكبسون في إطار نموذجه الشامل لفهم التواصل اللغوي، والذي يعتمد على التفاعل بين عناصر العملية التواصلية الستة: المرسل، والمرسل إليه، والرسالة، والسياق، والشفرة، والقناة. وتمثل الوظيفة الميتالسانية في هذا النموذج البُعد اللغوي الذي يركز على اللغة ذاتها، أي على الشيفرة اللغوية التي تُستخدم في عملية التواصل. وبمعنى آخر، فإن الوظيفة الميتالسانية تهتم باللغة بوصفها موضوعًا ذاتيًّا، حيث يُستخدم الخطاب لفحص اللغة نفسها، أو لتعريف أو توضيح مفاهيم لغوية، أو لتصحيح خطأ في </w:t>
      </w:r>
      <w:r w:rsidRPr="00B264FA">
        <w:rPr>
          <w:rFonts w:ascii="IRLotus" w:hAnsi="IRLotus" w:cs="IRLotus"/>
          <w:sz w:val="26"/>
          <w:szCs w:val="26"/>
          <w:rtl/>
        </w:rPr>
        <w:lastRenderedPageBreak/>
        <w:t xml:space="preserve">الشفرة، أو للحديث عن قواعد اللغة أو المفردات«هذه الوظيفة تبرز بين المتخاطبين علی سطح الخطاب عندما تستدعي الحاجة التاكد من الاستعمال السليم للقانون والسنن ؛ اذ يكون الخطاب مركزاً علی السنن ؛ لانه يشغل وظيفة الشرح والتفسير»( جاكبسون  1988م، ص31) لهذا السبب « لابد من وجود تسام معين بين الرموز التی يستعملها المرسل والرموز المعروفه </w:t>
      </w:r>
      <w:r w:rsidRPr="00B264FA">
        <w:rPr>
          <w:rFonts w:ascii="IRLotus" w:hAnsi="IRLotus" w:cs="IRLotus"/>
          <w:sz w:val="26"/>
          <w:szCs w:val="26"/>
          <w:highlight w:val="yellow"/>
          <w:rtl/>
        </w:rPr>
        <w:t>ا</w:t>
      </w:r>
      <w:r w:rsidR="00204431" w:rsidRPr="00B264FA">
        <w:rPr>
          <w:rFonts w:ascii="IRLotus" w:hAnsi="IRLotus" w:cs="IRLotus"/>
          <w:sz w:val="26"/>
          <w:szCs w:val="26"/>
          <w:highlight w:val="yellow"/>
          <w:rtl/>
        </w:rPr>
        <w:t>لم</w:t>
      </w:r>
      <w:r w:rsidR="00204431" w:rsidRPr="00B264FA">
        <w:rPr>
          <w:rFonts w:ascii="IRLotus" w:hAnsi="IRLotus" w:cs="IRLotus" w:hint="cs"/>
          <w:sz w:val="26"/>
          <w:szCs w:val="26"/>
          <w:highlight w:val="yellow"/>
          <w:rtl/>
        </w:rPr>
        <w:t>ؤ</w:t>
      </w:r>
      <w:r w:rsidRPr="00B264FA">
        <w:rPr>
          <w:rFonts w:ascii="IRLotus" w:hAnsi="IRLotus" w:cs="IRLotus"/>
          <w:sz w:val="26"/>
          <w:szCs w:val="26"/>
          <w:highlight w:val="yellow"/>
          <w:rtl/>
        </w:rPr>
        <w:t>ول</w:t>
      </w:r>
      <w:r w:rsidR="00204431" w:rsidRPr="00B264FA">
        <w:rPr>
          <w:rFonts w:ascii="IRLotus" w:hAnsi="IRLotus" w:cs="IRLotus" w:hint="cs"/>
          <w:sz w:val="26"/>
          <w:szCs w:val="26"/>
          <w:rtl/>
        </w:rPr>
        <w:t>ة</w:t>
      </w:r>
      <w:r w:rsidRPr="00B264FA">
        <w:rPr>
          <w:rFonts w:ascii="IRLotus" w:hAnsi="IRLotus" w:cs="IRLotus"/>
          <w:sz w:val="26"/>
          <w:szCs w:val="26"/>
          <w:rtl/>
        </w:rPr>
        <w:t xml:space="preserve"> لدي المتلقي (فونيمات كلمات ،جمل ...) وهي منتقاه من مستودع جميع الاجزاء الممكنه المكونه (الشفره) ، ومن دون هذا التساوي تكون المرسله مقطوعه خاليه من الدلاله وحتی ان وصلت الی المتلقي فانها لا توثر فيه</w:t>
      </w:r>
      <w:r w:rsidR="00C62A7A" w:rsidRPr="00B264FA">
        <w:rPr>
          <w:rFonts w:ascii="IRLotus" w:hAnsi="IRLotus" w:cs="IRLotus" w:hint="cs"/>
          <w:sz w:val="26"/>
          <w:szCs w:val="26"/>
          <w:rtl/>
        </w:rPr>
        <w:t>»</w:t>
      </w:r>
      <w:r w:rsidR="00C62A7A" w:rsidRPr="00B264FA">
        <w:rPr>
          <w:rFonts w:ascii="IRLotus" w:hAnsi="IRLotus" w:cs="IRLotus"/>
          <w:sz w:val="26"/>
          <w:szCs w:val="26"/>
          <w:rtl/>
        </w:rPr>
        <w:t>(</w:t>
      </w:r>
      <w:r w:rsidRPr="00B264FA">
        <w:rPr>
          <w:rFonts w:ascii="IRLotus" w:hAnsi="IRLotus" w:cs="IRLotus"/>
          <w:sz w:val="26"/>
          <w:szCs w:val="26"/>
          <w:rtl/>
        </w:rPr>
        <w:t xml:space="preserve"> جاكبسون </w:t>
      </w:r>
      <w:r w:rsidR="00C62A7A" w:rsidRPr="00B264FA">
        <w:rPr>
          <w:rFonts w:ascii="IRLotus" w:hAnsi="IRLotus" w:cs="IRLotus"/>
          <w:sz w:val="26"/>
          <w:szCs w:val="26"/>
          <w:rtl/>
        </w:rPr>
        <w:t>و</w:t>
      </w:r>
      <w:r w:rsidRPr="00B264FA">
        <w:rPr>
          <w:rFonts w:ascii="IRLotus" w:hAnsi="IRLotus" w:cs="IRLotus"/>
          <w:sz w:val="26"/>
          <w:szCs w:val="26"/>
          <w:rtl/>
        </w:rPr>
        <w:t>هاله 2008م، ص115_116)</w:t>
      </w:r>
    </w:p>
    <w:p w14:paraId="40BCF9D2"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الوظيفة المرجعية </w:t>
      </w:r>
    </w:p>
    <w:p w14:paraId="2CC8B6DF" w14:textId="77777777"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تُعد الوظيفة المرجعية أو الإفهامية من الركائز الأساسية التي يقوم عليها نموذج رومان جاكبسون لتحليل العملية التواصلية في اللغة. حيث تتمحور هذه الوظيفة حول مضمون الرسالة نفسها، بمعنى أنها تعنى بتوصيل معلومات دقيقة وموضوعية تتعلق بالواقع أو الأفكار أو الأحداث بعيدة عن التعبير عن الذات أو التأثير في المتلقي أو التركيز على شكل الرسالة. «تتعلق هذه الوظيفة بالمرسلات ذات المحتوي الذي يتناول موضوعات واحداث معينة ، تشكل التبرير الاساسي لعملية التواصل ذلك اننا نتكلم بهدف الاشاره الي محتوي معين نرغب في ايصاله الي الآخرين وتبادل الآراء معهم حوله»(زكريا1985 م،ص53_54) «وتسمی هذه الوظيفه احيانا التعينيه او التعريفيه او الاخباريه او الايحائية حيث تعد العمل الرئيسي في العديد من المرسلات وايضا تسمی بالمقامية لتعلقها بسياق الحديث او المقام الذي يرد فيه الكلام فتتجلی في الضمائر الغائب وفي الجملة الخبرية التی تحيل الی واقع مرجعی خارج - لسانی »(المرابط2010 ،ص47)ومن هنا نری عملية التواصل اللغوي «تقوم علی مجموعه من العوامل الحركه الدينامية ،والتی تودي الی التفاعل فيما بينها وذلك خلال الزمان والمكان ، والظروف والملابسات ، واحوال المتكلمين والمستمعين ، وتحدث هذه العملية متضافره مع هذه العوامل داخل مجال واسع يدعی احيانا بالبنيه التعليميه.</w:t>
      </w:r>
    </w:p>
    <w:p w14:paraId="2B1C4ABA" w14:textId="77777777" w:rsidR="006B5CA3" w:rsidRPr="00B264FA" w:rsidRDefault="006B5CA3" w:rsidP="006B5CA3">
      <w:pPr>
        <w:spacing w:after="0"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الوظيفة الشعرية </w:t>
      </w:r>
    </w:p>
    <w:p w14:paraId="776B8082" w14:textId="77BA631B" w:rsidR="006B5CA3" w:rsidRPr="00B264FA" w:rsidRDefault="006B5CA3" w:rsidP="006B5CA3">
      <w:pPr>
        <w:spacing w:after="0" w:line="240" w:lineRule="auto"/>
        <w:jc w:val="both"/>
        <w:rPr>
          <w:rFonts w:ascii="IRLotus" w:hAnsi="IRLotus" w:cs="IRLotus"/>
          <w:sz w:val="26"/>
          <w:szCs w:val="26"/>
          <w:rtl/>
        </w:rPr>
      </w:pPr>
      <w:r w:rsidRPr="00B264FA">
        <w:rPr>
          <w:rFonts w:ascii="IRLotus" w:hAnsi="IRLotus" w:cs="IRLotus"/>
          <w:sz w:val="26"/>
          <w:szCs w:val="26"/>
          <w:rtl/>
        </w:rPr>
        <w:t xml:space="preserve">تُعتبر الوظيفة الشعرية من الوظائف الست الأساسية التي صاغها رومان جاكبسون ضمن نموذجه الاتصالي الذي يفسر آليات التواصل اللغوي، وهي وظيفة تتميز بتركيزها على الرسالة ذاتها باعتبارها مركزية في العملية التواصلية، إذ تنظر إلى اللغة ليس فقط كوسيلة لنقل المعلومات أو التعبير عن المشاعر، بل كفن قائم بذاته يهدف إلى خلق أثر جمالي ولفظي في ذهن المتلقي. هذه الوظيفة تتجاوز الاستخدامات التقليدية للغة، لتصل إلى مستوى الإبداع الفني الذي يستثمر في خواص اللغة الشكلية والإيقاعية والرمزية، بحيث يصبح النص الشعري أو الأدبي تجسيداً </w:t>
      </w:r>
      <w:r w:rsidRPr="00B264FA">
        <w:rPr>
          <w:rFonts w:ascii="IRLotus" w:hAnsi="IRLotus" w:cs="IRLotus"/>
          <w:sz w:val="26"/>
          <w:szCs w:val="26"/>
          <w:highlight w:val="yellow"/>
          <w:rtl/>
        </w:rPr>
        <w:t>لغوي</w:t>
      </w:r>
      <w:r w:rsidR="00204431" w:rsidRPr="00B264FA">
        <w:rPr>
          <w:rFonts w:ascii="IRLotus" w:hAnsi="IRLotus" w:cs="IRLotus" w:hint="cs"/>
          <w:sz w:val="26"/>
          <w:szCs w:val="26"/>
          <w:rtl/>
        </w:rPr>
        <w:t>ا</w:t>
      </w:r>
      <w:r w:rsidR="00003E91" w:rsidRPr="00B264FA">
        <w:rPr>
          <w:rFonts w:ascii="IRLotus" w:hAnsi="IRLotus" w:cs="IRLotus" w:hint="cs"/>
          <w:sz w:val="26"/>
          <w:szCs w:val="26"/>
          <w:rtl/>
        </w:rPr>
        <w:t>ً</w:t>
      </w:r>
      <w:r w:rsidRPr="00B264FA">
        <w:rPr>
          <w:rFonts w:ascii="IRLotus" w:hAnsi="IRLotus" w:cs="IRLotus"/>
          <w:sz w:val="26"/>
          <w:szCs w:val="26"/>
          <w:rtl/>
        </w:rPr>
        <w:t xml:space="preserve"> يتفاعل مع القارئ من خلال عناصره الجمالية والبلاغية. ولذا، تُعد الوظيفة الشعرية بمثابة تأكيد على اللغة ذاتها، أي على كيف يُستخدم الخطاب اللغوي في بناء شكل جمالي يُثير الانتباه ويحفز على التدقيق في خصائص اللغة فعرفها بوقرة«وظيفة أساسية للغه لما تضيفه من </w:t>
      </w:r>
      <w:r w:rsidRPr="00B264FA">
        <w:rPr>
          <w:rFonts w:ascii="IRLotus" w:hAnsi="IRLotus" w:cs="IRLotus"/>
          <w:sz w:val="26"/>
          <w:szCs w:val="26"/>
          <w:rtl/>
        </w:rPr>
        <w:lastRenderedPageBreak/>
        <w:t>ديناميكيه وحيوية علی اللغة نفسها وبدونها تصبح المرسله اللغوية جسم ميت لا حراك له»( بوقرة 2003 ، ص100)</w:t>
      </w:r>
    </w:p>
    <w:p w14:paraId="722DEB3E" w14:textId="77777777" w:rsidR="006B5CA3" w:rsidRPr="00B264FA" w:rsidRDefault="006B5CA3" w:rsidP="006B5CA3">
      <w:pPr>
        <w:spacing w:after="0" w:line="240" w:lineRule="auto"/>
        <w:jc w:val="both"/>
        <w:rPr>
          <w:rFonts w:ascii="IRLotus" w:hAnsi="IRLotus" w:cs="IRLotus"/>
          <w:sz w:val="26"/>
          <w:szCs w:val="26"/>
          <w:rtl/>
        </w:rPr>
      </w:pPr>
    </w:p>
    <w:p w14:paraId="66A698A4"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تتضح النتائج الرئيسة لهذا البحث من خلال التركيز على الوظائف اللغوية الست التي حددها رومان جاكبسون، والتي أظهرت أن اللغة في مسرحية "الحسين ثائرًا" ليست مجرد أداة لنقل الأحداث أو الوقائع، بل هي وسيلة متعددة الأبعاد لتشكيل المعنى وبناء التأثير الدرامي والجمالي والنفسي لدى المتلقي. فقد بين التحليل أن الوظيفة التعبيرية تحتل مكانة مركزية في النص، إذ تكشف عن الانفعالات الداخلية للشخصيات ومواقفهم الأخلاقية والفكرية تجاه الأحداث والتاريخ. يتجلى ذلك في اختيار المفردات والصور اللغوية التي تنقل مشاعر الغضب والاستنكار والاستبشار، كما في حوارات سعيد وبشر وأسَد، حيث تُظهر اللغة التفاعل النفسي المكثف والانفعال الجوهري الذي يربط الشخصيات بتاريخها وموقفها من الظلم والطغيان، وهو ما يضفي على المسرحية حرارة وجدانية تجعل المتلقي يعيش الحدث ويشعر بوقعه النفسي كما لو كان حاضرًا فيه.</w:t>
      </w:r>
    </w:p>
    <w:p w14:paraId="203AB3CE"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على الصعيد ذاته، أظهر البحث أن الوظيفة المرجعية تلعب دورًا محوريًا في تقديم المعلومات الدقيقة عن الأحداث التاريخية والدوافع الشخصية للشخصيات، بما يعزز المصداقية ويتيح للمتلقي فهم السياق الذي تدور فيه الأحداث. إذ يسعى الحسين في خطابه إلى توضيح نواياه ومقاصده، ويؤكد أن خروجه لم يكن للسلطة أو التملك، بل لإقامة العدل ونشر الرسالة وإصلاح المجتمع، ما يعكس حرص النص على نقل الوقائع بطريقة دقيقة وموثوقة، ويحول اللغة إلى أداة لمعالجة الفهم الخاطئ وتصحيح تصور الجمهور عن الأحداث، مما يعكس قدرة المسرحية على الجمع بين البعد الإخباري والبعد الدرامي في الوقت ذاته.</w:t>
      </w:r>
    </w:p>
    <w:p w14:paraId="0710B2B7"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كما أبرز البحث الدور البارز للوظيفة الانتباهية، حيث تتجلى في حوارات الحسين مع نفسه ومع الآخرين حرص الشخصية على إنشاء قنوات تواصلية مستمرة، سواء على المستوى الروحي في حديثه مع الله، أو على مستوى العلاقات الاجتماعية والسياسية مع الشخصيات المحيطة. يظهر ذلك في حرصه على التأكد من إدراك الآخرين للحقائق التاريخية وللمواقف الصحيحة قبل اتخاذ أي خطوة، وفي تنظيم الأحداث لضمان وضوح التواصل مع الشخصيات والجمهور على حد سواء، وهو ما يعكس قدرة النص على دمج الوظائف الدلالية والوجدانية في سياق متكامل يحافظ على انتباه المتلقي ويشدّه إلى النص.</w:t>
      </w:r>
    </w:p>
    <w:p w14:paraId="26A4D7E5"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كما أظهر التحليل أن الوظيفة الميتالغوية تتجلى في النص من خلال حرص الشخصيات على توضيح الشفرات والمعاني الرمزية، سواء في التعليمات التي توجهها زينب إلى الحسين أو في تساؤلات الحسين واستفساراته اللغوية عن المواقف السياسية والأخلاقية. هذا الاستخدام يعكس وعيًا لغويًا ذاتيًا لدى الشخصيات، يجعل اللغة نفسها موضوع مراجعة وتفسير، ويؤكد أن النص المسرحي ليس مجرد سرد للأحداث بل معالجة دقيقة للمعنى، وضبط دلالاته وتجنب الغموض الذي قد يضعف الرسالة.</w:t>
      </w:r>
    </w:p>
    <w:p w14:paraId="1CFB35A0"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lastRenderedPageBreak/>
        <w:t>أما الوظيفة الشعرية، فقد أظهر التحليل أنها تضفي على النص بعدًا جماليًا يثري التجربة الدرامية، من خلال استخدام الصور المجازية والاستعارات والإيقاع الداخلي في الحوار، كما في حديث مسلم والنصوص التي تحمل تكرارًا موسيقيًا متعمدًا وبلاغة صوتية، ما يحوّل اللغة إلى أداة فنية تفاعلية تتجاوز الوظيفة الإخبارية إلى مستوى الإحساس الجمالي والرمزي، ويجعل المسرحية تجربة متكاملة تجمع بين الفكر والعاطفة والجمال اللغوي.</w:t>
      </w:r>
    </w:p>
    <w:p w14:paraId="6C44EEE6"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وبناءً على ذلك، يبرز البحث أن المسرحية تعتمد على تفاعل متكامل بين جميع الوظائف اللغوية، بحيث تتداخل التعبيرية مع المرجعية والشعرية والانتباهية والميتالغوية والإشارية لتشكيل نص قادر على توصيل رسالة فكرية وأخلاقية وجمالية في الوقت ذاته. ويشير التحليل إلى أن هذا التكامل يعكس وعي الكاتب بالوظائف المتعددة للغة، ويؤكد أن النص المسرحي العربي قادر على مزج البعد التاريخي بالبعد الفني والجمالي بطريقة تحافظ على وضوح المعنى وتفاعل الجمهور.</w:t>
      </w:r>
    </w:p>
    <w:p w14:paraId="2B8DDB1A" w14:textId="77777777" w:rsidR="006B5CA3" w:rsidRPr="00B264FA" w:rsidRDefault="006B5CA3" w:rsidP="006B5CA3">
      <w:pPr>
        <w:spacing w:after="0" w:line="240" w:lineRule="auto"/>
        <w:jc w:val="both"/>
        <w:rPr>
          <w:rFonts w:ascii="IRLotus" w:hAnsi="IRLotus" w:cs="IRLotus"/>
          <w:sz w:val="26"/>
          <w:szCs w:val="26"/>
          <w:rtl/>
        </w:rPr>
      </w:pPr>
      <w:r w:rsidRPr="00B264FA">
        <w:rPr>
          <w:rFonts w:ascii="IRLotus" w:hAnsi="IRLotus" w:cs="IRLotus"/>
          <w:sz w:val="26"/>
          <w:szCs w:val="26"/>
          <w:rtl/>
        </w:rPr>
        <w:t>وبناءً على ما سبق، يمكن القول إن البحث أثبت أن دراسة الوظائف اللغوية الست في المسرحية تتيح فهماً أعمق للنص، وتكشف عن العلاقة العضوية بين الشكل والمضمون، بين الفكرة والانفعال، بين الجمالية والتواصل، بما يجعل المسرحية مثالاً حيًا على اللغة التواصليّة المتكاملة، ويؤكد على أهمية توظيف النظرية التواصلية لجاكبسون كإطار منهجي لتحليل النصوص الأدبية والمسرحية بشكل شامل ودقيق، ويعطي الباحث أدوات لفهم النص من جوانب متعددة تشمل الدلالات التاريخية، والقيم الفكرية، والأبعاد الجمالية، والتأثير النفسي على المتلقي.</w:t>
      </w:r>
    </w:p>
    <w:p w14:paraId="7C1B3D7F" w14:textId="77777777" w:rsidR="006B5CA3" w:rsidRPr="00B264FA" w:rsidRDefault="006B5CA3" w:rsidP="006B5CA3">
      <w:pPr>
        <w:spacing w:after="0" w:line="240" w:lineRule="auto"/>
        <w:jc w:val="both"/>
        <w:rPr>
          <w:rFonts w:ascii="IRLotus" w:hAnsi="IRLotus" w:cs="IRLotus"/>
          <w:b/>
          <w:bCs/>
          <w:sz w:val="26"/>
          <w:szCs w:val="26"/>
          <w:rtl/>
        </w:rPr>
      </w:pPr>
    </w:p>
    <w:p w14:paraId="3C133529" w14:textId="77777777" w:rsidR="006B5CA3" w:rsidRPr="00B264FA" w:rsidRDefault="006B5CA3" w:rsidP="006B5CA3">
      <w:pPr>
        <w:spacing w:after="0" w:line="240" w:lineRule="auto"/>
        <w:jc w:val="both"/>
        <w:rPr>
          <w:rFonts w:ascii="IRLotus" w:hAnsi="IRLotus" w:cs="IRLotus"/>
          <w:sz w:val="26"/>
          <w:szCs w:val="26"/>
          <w:rtl/>
        </w:rPr>
      </w:pPr>
    </w:p>
    <w:p w14:paraId="47EB41D5" w14:textId="77777777" w:rsidR="006B5CA3" w:rsidRPr="00B264FA" w:rsidRDefault="006B5CA3" w:rsidP="006B5CA3">
      <w:pPr>
        <w:spacing w:after="0" w:line="240" w:lineRule="auto"/>
        <w:jc w:val="both"/>
        <w:rPr>
          <w:rFonts w:ascii="IRLotus" w:hAnsi="IRLotus" w:cs="IRLotus"/>
          <w:sz w:val="26"/>
          <w:szCs w:val="26"/>
          <w:rtl/>
        </w:rPr>
      </w:pPr>
    </w:p>
    <w:p w14:paraId="27495D59" w14:textId="77777777" w:rsidR="006B5CA3" w:rsidRPr="00B264FA" w:rsidRDefault="006B5CA3" w:rsidP="006B5CA3">
      <w:pPr>
        <w:spacing w:after="0" w:line="240" w:lineRule="auto"/>
        <w:jc w:val="both"/>
        <w:rPr>
          <w:rFonts w:ascii="IRLotus" w:hAnsi="IRLotus" w:cs="IRLotus"/>
          <w:b/>
          <w:bCs/>
          <w:sz w:val="26"/>
          <w:szCs w:val="26"/>
          <w:rtl/>
        </w:rPr>
      </w:pPr>
      <w:r w:rsidRPr="00B264FA">
        <w:rPr>
          <w:rFonts w:ascii="IRLotus" w:hAnsi="IRLotus" w:cs="IRLotus"/>
          <w:b/>
          <w:bCs/>
          <w:sz w:val="26"/>
          <w:szCs w:val="26"/>
          <w:rtl/>
        </w:rPr>
        <w:t>القسم التحليلي</w:t>
      </w:r>
    </w:p>
    <w:p w14:paraId="448EF86C" w14:textId="5C781F68" w:rsidR="006B5CA3" w:rsidRPr="00B264FA" w:rsidRDefault="006B5CA3" w:rsidP="006B5CA3">
      <w:pPr>
        <w:spacing w:after="0" w:line="240" w:lineRule="auto"/>
        <w:jc w:val="both"/>
        <w:rPr>
          <w:rFonts w:ascii="IRLotus" w:hAnsi="IRLotus" w:cs="IRLotus"/>
          <w:sz w:val="26"/>
          <w:szCs w:val="26"/>
          <w:rtl/>
        </w:rPr>
      </w:pPr>
      <w:r w:rsidRPr="00B264FA">
        <w:rPr>
          <w:rFonts w:ascii="IRLotus" w:hAnsi="IRLotus" w:cs="IRLotus"/>
          <w:sz w:val="26"/>
          <w:szCs w:val="26"/>
          <w:rtl/>
        </w:rPr>
        <w:t xml:space="preserve">الإطار التحليلي في هذا البحث يعتمد على نظرية التواصل لرومان جاكبسون لفحص الوظائف اللغوية في مسرحية "الحسين ثائرًا" لعبد الرحمن الشرقاوي. تنص نظرية جاكبسون على أن التواصل اللغوي يتكون من ستة عناصر رئيسية: المرسل، المستقبل، الرسالة، القناة، السياق، والمحتوى. كل من هذه العناصر يلعب دورًا في تحديد الوظائف اللغوية التي تحقق تأثيرات مختلفة على المتلقي. في هذا السياق، سيتم تطبيق النظرية لفحص كيفية استخدام الشرقاوي للغة لتحقيق وظائف متعددة مثل التعبير عن العواطف، التأثير على المتلقي، وتحفيز الفكر والعمل، بما يساهم في تعزيز الرسالة الدرامية للمسرحية </w:t>
      </w:r>
      <w:r w:rsidRPr="00B264FA">
        <w:rPr>
          <w:rFonts w:ascii="IRLotus" w:hAnsi="IRLotus" w:cs="IRLotus"/>
          <w:sz w:val="26"/>
          <w:szCs w:val="26"/>
          <w:highlight w:val="yellow"/>
          <w:rtl/>
        </w:rPr>
        <w:t>و</w:t>
      </w:r>
      <w:r w:rsidR="00204431" w:rsidRPr="00B264FA">
        <w:rPr>
          <w:rFonts w:ascii="IRLotus" w:hAnsi="IRLotus" w:cs="IRLotus" w:hint="cs"/>
          <w:sz w:val="26"/>
          <w:szCs w:val="26"/>
          <w:highlight w:val="yellow"/>
          <w:rtl/>
        </w:rPr>
        <w:t>ب</w:t>
      </w:r>
      <w:r w:rsidRPr="00B264FA">
        <w:rPr>
          <w:rFonts w:ascii="IRLotus" w:hAnsi="IRLotus" w:cs="IRLotus"/>
          <w:sz w:val="26"/>
          <w:szCs w:val="26"/>
          <w:highlight w:val="yellow"/>
          <w:rtl/>
        </w:rPr>
        <w:t>التالي</w:t>
      </w:r>
      <w:r w:rsidRPr="00B264FA">
        <w:rPr>
          <w:rFonts w:ascii="IRLotus" w:hAnsi="IRLotus" w:cs="IRLotus"/>
          <w:sz w:val="26"/>
          <w:szCs w:val="26"/>
          <w:rtl/>
        </w:rPr>
        <w:t xml:space="preserve"> نشير الی بعض النماذج من المسرحية وتحليلها بإستخدام الوظائف اللغوية الست من نظرية التواصل لرومان جاكبسون.</w:t>
      </w:r>
    </w:p>
    <w:p w14:paraId="3BDD1FF3" w14:textId="77777777" w:rsidR="006B5CA3" w:rsidRPr="00B264FA" w:rsidRDefault="006B5CA3" w:rsidP="006B5CA3">
      <w:pPr>
        <w:spacing w:after="0" w:line="240" w:lineRule="auto"/>
        <w:jc w:val="both"/>
        <w:rPr>
          <w:rFonts w:ascii="IRLotus" w:hAnsi="IRLotus" w:cs="IRLotus"/>
          <w:sz w:val="26"/>
          <w:szCs w:val="26"/>
          <w:rtl/>
        </w:rPr>
      </w:pPr>
    </w:p>
    <w:p w14:paraId="2D1F8984" w14:textId="77777777" w:rsidR="006B5CA3" w:rsidRPr="00B264FA" w:rsidRDefault="006B5CA3" w:rsidP="006B5CA3">
      <w:pPr>
        <w:spacing w:after="0" w:line="240" w:lineRule="auto"/>
        <w:jc w:val="both"/>
        <w:rPr>
          <w:rFonts w:ascii="IRLotus" w:hAnsi="IRLotus" w:cs="IRLotus"/>
          <w:b/>
          <w:bCs/>
          <w:sz w:val="26"/>
          <w:szCs w:val="26"/>
          <w:rtl/>
        </w:rPr>
      </w:pPr>
      <w:r w:rsidRPr="00B264FA">
        <w:rPr>
          <w:rFonts w:ascii="IRLotus" w:hAnsi="IRLotus" w:cs="IRLotus"/>
          <w:b/>
          <w:bCs/>
          <w:sz w:val="26"/>
          <w:szCs w:val="26"/>
          <w:rtl/>
        </w:rPr>
        <w:t>الوظيفة التعبيرية</w:t>
      </w:r>
    </w:p>
    <w:p w14:paraId="2DEB576F" w14:textId="182B6612" w:rsidR="006B5CA3" w:rsidRPr="00B264FA" w:rsidRDefault="006B5CA3" w:rsidP="00154819">
      <w:pPr>
        <w:spacing w:line="240" w:lineRule="auto"/>
        <w:jc w:val="both"/>
        <w:rPr>
          <w:rFonts w:ascii="IRLotus" w:hAnsi="IRLotus" w:cs="IRLotus"/>
          <w:sz w:val="26"/>
          <w:szCs w:val="26"/>
        </w:rPr>
      </w:pPr>
      <w:r w:rsidRPr="00B264FA">
        <w:rPr>
          <w:rFonts w:ascii="IRLotus" w:hAnsi="IRLotus" w:cs="IRLotus"/>
          <w:sz w:val="26"/>
          <w:szCs w:val="26"/>
          <w:rtl/>
        </w:rPr>
        <w:t>وتبرز الوظيفة التعبيرية بشكل خاص في المواقف التي يكون فيها المتكلم في حالة من الانفعال، أو الصراع، أو التوتر النفسي، أو الاعتراف، أو النداء، أو الحنين، أو الألم، أو حتى السخرية.</w:t>
      </w:r>
      <w:r w:rsidR="00154819" w:rsidRPr="00B264FA">
        <w:rPr>
          <w:rFonts w:ascii="IRLotus" w:hAnsi="IRLotus" w:cs="IRLotus"/>
          <w:sz w:val="26"/>
          <w:szCs w:val="26"/>
          <w:rtl/>
        </w:rPr>
        <w:t xml:space="preserve"> «تشير اللغه في هذه الوظيفة التي تسمي ايضا الانفعاليه او العاطفيه </w:t>
      </w:r>
      <w:r w:rsidR="00154819" w:rsidRPr="00B264FA">
        <w:rPr>
          <w:rFonts w:ascii="IRLotus" w:hAnsi="IRLotus" w:cs="IRLotus"/>
          <w:sz w:val="26"/>
          <w:szCs w:val="26"/>
          <w:rtl/>
        </w:rPr>
        <w:lastRenderedPageBreak/>
        <w:t>الي موقف المرسل من مختلف القضايا التي يتحدث عنها» (منقور2001م،66)</w:t>
      </w:r>
      <w:r w:rsidRPr="00B264FA">
        <w:rPr>
          <w:rFonts w:ascii="IRLotus" w:hAnsi="IRLotus" w:cs="IRLotus"/>
          <w:sz w:val="26"/>
          <w:szCs w:val="26"/>
          <w:rtl/>
        </w:rPr>
        <w:t xml:space="preserve"> وهذه الحالات تظهر من خلال ترددات لغوية دقيقة، يمكن تتبّعها عبر العلامات النصية التي تدلّ على اضطراب المعنى أو تضخّمه. وهذا ما يجعل الوظيفة التعبيرية ذات صلة عميقة بالتحليل النفسي للنص، فضلًا عن ارتباطها العضوي بعلم الأسلوب (</w:t>
      </w:r>
      <w:r w:rsidRPr="00B264FA">
        <w:rPr>
          <w:rFonts w:ascii="IRLotus" w:hAnsi="IRLotus" w:cs="IRLotus"/>
          <w:sz w:val="26"/>
          <w:szCs w:val="26"/>
        </w:rPr>
        <w:t>Stylistics</w:t>
      </w:r>
      <w:r w:rsidRPr="00B264FA">
        <w:rPr>
          <w:rFonts w:ascii="IRLotus" w:hAnsi="IRLotus" w:cs="IRLotus"/>
          <w:sz w:val="26"/>
          <w:szCs w:val="26"/>
          <w:rtl/>
        </w:rPr>
        <w:t>)، إذ تُعدّ من أبرز المؤشرات الأسلوبية التي تكشف عن فرادة الصوت الأدبي أو التعبيري للكاتب أو المتكلم.</w:t>
      </w:r>
    </w:p>
    <w:p w14:paraId="63E133A2"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سَعِيدٌ: زَالَ الطَّاغِيَةُ المُتَكَبِّرُ</w:t>
      </w:r>
    </w:p>
    <w:p w14:paraId="35DC02F9"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 xml:space="preserve"> بِشْرٌ: سَقَطَ الدَّجَّالُ الأَكْبَرُ</w:t>
      </w:r>
    </w:p>
    <w:p w14:paraId="23B3CA0F"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 xml:space="preserve"> سَعِيدٌ: هَلَكَ الفِرْعَوْنُ المُتَجَبِّرُ مَاتَ مُعَاوِيَةُ يَا قَوْمُ فَالْحُرِّيَّةُ مُنْذُ الْيَوْمِ أَبْشِرْ يَا بِشْرُ إِذَنْ أَبْشِرْ</w:t>
      </w:r>
    </w:p>
    <w:p w14:paraId="25792FDF"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 xml:space="preserve"> أَسَدٌ: أَتَشْتُمُ رَجُلاً هُوَ مِنْ صَحْبِ رَسُولِ اللهِ وَقَدْ بَشَّرَهُ بِالْجَنَّةِ؟ فَأَبْشِرْ أَنْتَ بِنَارِ سَقَرَ </w:t>
      </w:r>
    </w:p>
    <w:p w14:paraId="493B8DED"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 xml:space="preserve">سَعِيدٌ: لَا بَلْ رَجُلٌ لَمَّا آلَ الأَمْرُ إِلَيْهِ انْفَرَدَ بِهِ حَتَّى اسْتَأْثَرَ فَعَطَّلَ أَصْلاً فِي الإِسْلَامِ وَزَيَّفَ قَاعِدَةَ الشُّورَى وَخَالَفَ نَصّاً فِي الْقُرْآنِ وَأَهْدَرَ أَحْكَامَ السُّنَّةِ قَاتَلَ جَدِّي وَهُوَ يُصَلِّي لَمَّا اعْتَرَضَ عَلَى رَأْيِهِ </w:t>
      </w:r>
    </w:p>
    <w:p w14:paraId="5EE6936E" w14:textId="7AFA22EE"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tl/>
        </w:rPr>
        <w:t xml:space="preserve">أَسَدٌ: لَمَّا اعْتَرَضَ عَلَى رَأْيِهِ، قَدْ كَانَ يُشَاوِرُنَا فِي الأَمْرِ </w:t>
      </w:r>
      <w:r w:rsidRPr="00311A8A">
        <w:rPr>
          <w:rFonts w:ascii="IRLotus" w:hAnsi="IRLotus" w:cs="IRLotus" w:hint="cs"/>
          <w:b/>
          <w:bCs/>
          <w:sz w:val="26"/>
          <w:szCs w:val="26"/>
          <w:highlight w:val="yellow"/>
          <w:rtl/>
        </w:rPr>
        <w:t>(</w:t>
      </w:r>
      <w:r w:rsidRPr="00311A8A">
        <w:rPr>
          <w:rFonts w:ascii="IRLotus" w:hAnsi="IRLotus" w:cs="IRLotus"/>
          <w:b/>
          <w:bCs/>
          <w:sz w:val="26"/>
          <w:szCs w:val="26"/>
          <w:highlight w:val="yellow"/>
          <w:rtl/>
        </w:rPr>
        <w:t>الشَّرْقَاوِيُّ 1972، ص 9</w:t>
      </w:r>
      <w:r w:rsidRPr="00311A8A">
        <w:rPr>
          <w:rFonts w:ascii="IRLotus" w:hAnsi="IRLotus" w:cs="IRLotus" w:hint="cs"/>
          <w:b/>
          <w:bCs/>
          <w:sz w:val="26"/>
          <w:szCs w:val="26"/>
          <w:highlight w:val="yellow"/>
          <w:rtl/>
        </w:rPr>
        <w:t>)</w:t>
      </w:r>
    </w:p>
    <w:p w14:paraId="626DB1A6" w14:textId="05B72A83"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يتجلّى في النص المسرحي المقتبس من الحسين ثائرًا حضور الوظيفة التعبيرية بشكل واضح من خلال ما ينقله الحوار من مشاعر الشخصيات وانفعالاتها العميقة تجاه الأحداث التاريخية والشخصيات المعنية. يظهر هذا بشكل فوري في تعابير سعيد وبشر، حيث تبدأ الكلمات بإعلان الانتصار على الطاغية والدجال الأكبر، وما تحمله من شعور بالنشوة والارتياح لزوال الظلم والطغيان، وهو ما يعكس الحالة النفسية للمتحدثين وموقفهم العاطفي تجاه سقوط القهر والاضطهاد. إن استخدام مفردات مثل "زال الطاغية المتكبر" و"سقط الدجال الأكبر" و"هلك الفرعون المتجبر" ليس مجرد نقل للأحداث التاريخية، بل هو تعبير عن مشاعر الغضب المتراكمة والاستبشار بانتصار العدالة، ويضفي على النص حرارة وجدانية تدفع المتلقي إلى التفاعل العاطفي مع الحالة الدرامية</w:t>
      </w:r>
      <w:r w:rsidRPr="00B264FA">
        <w:rPr>
          <w:rFonts w:ascii="IRLotus" w:hAnsi="IRLotus" w:cs="IRLotus"/>
          <w:sz w:val="26"/>
          <w:szCs w:val="26"/>
        </w:rPr>
        <w:t>.</w:t>
      </w:r>
    </w:p>
    <w:p w14:paraId="25451B74"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 xml:space="preserve">يتعزز حضور الوظيفة التعبيرية في الجملة التي يقول فيها سعيد: "مات معاوية يا قوم فالحرية منذ اليوم"، إذ تتجاوز الكلمة حدود الإخبار لتصبح إعلانًا انفعاليًا عن الفرح بالتحرر من القهر، ويبدو هذا الجهد في اللغة مرتبطًا بالموقف الشخصي للمتحدث، حيث يختلط التاريخي بالمشاعر، ويبرز الارتباط بين اللغة والانفعال النفسي. كما تتضح الوظيفة التعبيرية أيضًا في الحوار بين أسد وسعيد، حيث يواجه أسد الادعاء السابق بقسوة وتهديد، مستعملًا عبارات قوية مثل "فأبشر أنت بنار سقر"، لتعكس موقفه </w:t>
      </w:r>
      <w:r w:rsidRPr="00B264FA">
        <w:rPr>
          <w:rFonts w:ascii="IRLotus" w:hAnsi="IRLotus" w:cs="IRLotus"/>
          <w:sz w:val="26"/>
          <w:szCs w:val="26"/>
          <w:rtl/>
        </w:rPr>
        <w:lastRenderedPageBreak/>
        <w:t>الغاضب والمستنكر، وهو ما يعكس اختلاف الانفعالات بين الشخصيات ويظهر التوتر الداخلي في النص</w:t>
      </w:r>
      <w:r w:rsidRPr="00B264FA">
        <w:rPr>
          <w:rFonts w:ascii="IRLotus" w:hAnsi="IRLotus" w:cs="IRLotus"/>
          <w:sz w:val="26"/>
          <w:szCs w:val="26"/>
        </w:rPr>
        <w:t>.</w:t>
      </w:r>
    </w:p>
    <w:p w14:paraId="673AE510" w14:textId="2DB14BD6"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 xml:space="preserve">وفي الجملة الأخيرة، حين يقول سعيد: "لا بل رجل لما آل الأمر إليه انفرد به حتى استأثر فعطل أصلا في الإسلام وزيف قاعدة </w:t>
      </w:r>
      <w:r w:rsidR="00154819" w:rsidRPr="00B264FA">
        <w:rPr>
          <w:rFonts w:ascii="IRLotus" w:hAnsi="IRLotus" w:cs="IRLotus"/>
          <w:sz w:val="26"/>
          <w:szCs w:val="26"/>
          <w:highlight w:val="yellow"/>
          <w:rtl/>
        </w:rPr>
        <w:t>الشور</w:t>
      </w:r>
      <w:r w:rsidR="00285583" w:rsidRPr="00B264FA">
        <w:rPr>
          <w:rFonts w:ascii="IRLotus" w:hAnsi="IRLotus" w:cs="IRLotus" w:hint="cs"/>
          <w:sz w:val="26"/>
          <w:szCs w:val="26"/>
          <w:rtl/>
        </w:rPr>
        <w:t>ی</w:t>
      </w:r>
      <w:r w:rsidR="00154819" w:rsidRPr="00B264FA">
        <w:rPr>
          <w:rFonts w:ascii="IRLotus" w:hAnsi="IRLotus" w:cs="IRLotus" w:hint="cs"/>
          <w:sz w:val="26"/>
          <w:szCs w:val="26"/>
          <w:rtl/>
        </w:rPr>
        <w:t>ء</w:t>
      </w:r>
      <w:r w:rsidRPr="00B264FA">
        <w:rPr>
          <w:rFonts w:ascii="IRLotus" w:hAnsi="IRLotus" w:cs="IRLotus"/>
          <w:sz w:val="26"/>
          <w:szCs w:val="26"/>
          <w:rtl/>
        </w:rPr>
        <w:t xml:space="preserve"> وخالف نصا في القرآن وأهدر أحكام السنة قاتل جدي وهو يصلى لما اعترض على رأيه"، تتجلى الوظيفة التعبيرية بأقصى درجاتها، إذ تتداخل مشاعر الغضب، الاستنكار، والأسى، لتكشف عن موقف شخصي مكثف تجاه الظلم التاريخي، ويبرز هذا التوتر النفسي بشكل مباشر في اللغة المستخدمة، حيث تتحول الكلمات إلى أداة لنقل الانفعال بشكل حي وفعّال. وهكذا، يظهر النص كمثال حي على كيفية استخدام الكاتب اللغة ليس فقط كأداة نقل معلومات، بل كوسيلة للتعبير عن المواقف النفسية والانفعالية للشخصيات، وهو ما يعكس جوهر الوظيفة التعبيرية في الخطاب المسرحي ويضفي على النص عمقًا وجدانيًا وفنيًا يثري التجربة الدرامية للمتلقي</w:t>
      </w:r>
      <w:r w:rsidRPr="00B264FA">
        <w:rPr>
          <w:rFonts w:ascii="IRLotus" w:hAnsi="IRLotus" w:cs="IRLotus"/>
          <w:sz w:val="26"/>
          <w:szCs w:val="26"/>
        </w:rPr>
        <w:t>.</w:t>
      </w:r>
    </w:p>
    <w:p w14:paraId="5972924B"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الوظيفة الإفهامية</w:t>
      </w:r>
    </w:p>
    <w:p w14:paraId="1B632E46" w14:textId="4EFC491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إنّ جوهر الوظيفة الإفهامية يتجلّى في نقل المعلومات أو الأخبار أو الوقائع أو الأفكار المرتبطة بعالم واقعي أو خيالي، في محاولة لتكوين معرفة ما أو تأكيد معلومة قائمة أو توسيع خلفية معرفية لدى المتلقي و ان كل عمل ادبی «يحتوی رموزا ودلالات وايحاءات و</w:t>
      </w:r>
      <w:r w:rsidR="00204431" w:rsidRPr="00B264FA">
        <w:rPr>
          <w:rFonts w:ascii="IRLotus" w:hAnsi="IRLotus" w:cs="IRLotus"/>
          <w:sz w:val="26"/>
          <w:szCs w:val="26"/>
          <w:highlight w:val="yellow"/>
          <w:rtl/>
        </w:rPr>
        <w:t>قدر</w:t>
      </w:r>
      <w:r w:rsidR="00204431" w:rsidRPr="00B264FA">
        <w:rPr>
          <w:rFonts w:ascii="IRLotus" w:hAnsi="IRLotus" w:cs="IRLotus" w:hint="cs"/>
          <w:sz w:val="26"/>
          <w:szCs w:val="26"/>
          <w:rtl/>
        </w:rPr>
        <w:t>ة</w:t>
      </w:r>
      <w:r w:rsidRPr="00B264FA">
        <w:rPr>
          <w:rFonts w:ascii="IRLotus" w:hAnsi="IRLotus" w:cs="IRLotus"/>
          <w:sz w:val="26"/>
          <w:szCs w:val="26"/>
          <w:rtl/>
        </w:rPr>
        <w:t xml:space="preserve"> علی تحقيق الافهامية تستطيع ان تثير لدی القارئ ما يمكن ان يعد نشاطا ابداعيا موثرا يستطيع بوساطته تلقي النص وفهمه »(سلمان 2012 م، ص49)وبذلك، تكون هذه الوظيفة موجهة في الأساس نحو "السياق الخارجي "الذي يشير إليه الخطاب، وتعمل على جعله مركز اهتمام التواصل. فهي، بتعبير جاكبسون، "تتمحور حول السياق"، وتتحقّق في الخطاب الذي يهدف إلى توصيل محتوى معرفي واضح، دون أن يكون الغرض الأساس هو التأثير الوجداني أو الجمالي أو الإيقاعي، كما هو الحال في الوظائف الأخرى.</w:t>
      </w:r>
    </w:p>
    <w:p w14:paraId="6EC6CF67"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بِشْرٌ: لَا تَشْرَبْ قَطْرَةَ مَاءٍ فِي هَذَا الْقَصْرِ (لِلْحُسَيْنِ) لَا تَشْرَبْ شَيْئاً فِي الْقَصْرِ لَا تَشْرَبْ مَاءً وَلَا عَسَلاً وَاذْكُرْ إِنَّ أَخَاكَ الْحَسَنَ عَلَيْهِ الرَّحْمَةُ مَاتَ بِسُمٍّ فِي عَسَلِهِ</w:t>
      </w:r>
    </w:p>
    <w:p w14:paraId="325EFF4B"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 xml:space="preserve"> الْحُسَيْنُ (ع): مَا رَبِّي فِي مَاءِ الْقَصْرِ وَمَا شِبَعِي فِي عَسَلِ أُ</w:t>
      </w:r>
    </w:p>
    <w:p w14:paraId="2785ABFE"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مَيَّةَ</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بِشْرٌ: لَا تَشْرَبْ - مَهْمَا تَظْمَأْ فِي قَصْرِ أَمِيرٍ أُمَوِيٍّ</w:t>
      </w:r>
    </w:p>
    <w:p w14:paraId="50B6FAD8"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الْحُسَيْنُ: (ضَاحِكاً) إِنِّي مِنْ هُنَا وَأَنَا عَطْشَانُ لَمَتُّ شَهِيداً مِنْ ظَمَئِي</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 xml:space="preserve">وَسَتُصْبِحُ مَسْؤُولاً عَنْ مَوْتَايَ فِي عَطَشِي هَذَا يَا بِشْرُ (لِسَعِيدٍ) وَأَنْتَ كَذَلِكَ يَا كُوفِيُّ </w:t>
      </w:r>
    </w:p>
    <w:p w14:paraId="765E14F3"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tl/>
        </w:rPr>
        <w:t>سَعِيدٌ: نَخَافُ عَلَيْكَ أَذَى الْحُسَّادِ وَهُمْ كَثِيرٌ</w:t>
      </w:r>
    </w:p>
    <w:p w14:paraId="5530E682"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Pr>
        <w:lastRenderedPageBreak/>
        <w:t xml:space="preserve"> </w:t>
      </w:r>
      <w:r w:rsidRPr="00311A8A">
        <w:rPr>
          <w:rFonts w:ascii="IRLotus" w:hAnsi="IRLotus" w:cs="IRLotus"/>
          <w:b/>
          <w:bCs/>
          <w:sz w:val="26"/>
          <w:szCs w:val="26"/>
          <w:highlight w:val="yellow"/>
          <w:rtl/>
        </w:rPr>
        <w:t>الْحُسَيْنُ: عَذِّبْ حُسَّادَكَ بِالإِحْسَانِ؛ تَحْيَ سَعِيداً طُولَ الْعُمُرِ (السَّعِيدُ) أَتَعُودُ الآنَ إِلَى الْكُوفَةِ..؟</w:t>
      </w:r>
    </w:p>
    <w:p w14:paraId="641CE223" w14:textId="77777777" w:rsidR="00285583" w:rsidRPr="00311A8A" w:rsidRDefault="00285583" w:rsidP="00285583">
      <w:pPr>
        <w:spacing w:line="240" w:lineRule="auto"/>
        <w:jc w:val="both"/>
        <w:rPr>
          <w:rFonts w:ascii="IRLotus" w:hAnsi="IRLotus" w:cs="IRLotus"/>
          <w:b/>
          <w:bCs/>
          <w:sz w:val="26"/>
          <w:szCs w:val="26"/>
          <w:highlight w:val="yellow"/>
          <w:rtl/>
        </w:rPr>
      </w:pP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سَعِيدٌ: فَلْتُمْهِلْنِي حَتَّى الْفَجْرِ أَصِلْ وَرَاءَكَ هَذَا الْفَجْرُ فَأَشْرُفُ عِنْدَ رِجَالِ الْكُوفَةِ أَنِّي قَدْ صَلَّيْتُ وَرَاءَكَ</w:t>
      </w:r>
    </w:p>
    <w:p w14:paraId="3AFA3483" w14:textId="52402366"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الْحُسَيْنُ: فَلَا يُحْدِثَنَّ أَحَدٌ شَيْئاً حَتَّى يَتَبَيَّنَ وَجْهُ الأَمْرِ، يَخْتَفِي الْحُسَيْنُ وَيَخْتَفِي فِتْيَانُهُ</w:t>
      </w:r>
      <w:r w:rsidRPr="00311A8A">
        <w:rPr>
          <w:rFonts w:ascii="IRLotus" w:hAnsi="IRLotus" w:cs="IRLotus"/>
          <w:b/>
          <w:bCs/>
          <w:sz w:val="26"/>
          <w:szCs w:val="26"/>
          <w:highlight w:val="yellow"/>
        </w:rPr>
        <w:t xml:space="preserve"> </w:t>
      </w:r>
      <w:r w:rsidRPr="00311A8A">
        <w:rPr>
          <w:rFonts w:ascii="IRLotus" w:hAnsi="IRLotus" w:cs="IRLotus" w:hint="cs"/>
          <w:b/>
          <w:bCs/>
          <w:sz w:val="26"/>
          <w:szCs w:val="26"/>
          <w:highlight w:val="yellow"/>
          <w:rtl/>
        </w:rPr>
        <w:t xml:space="preserve"> (</w:t>
      </w:r>
      <w:r w:rsidRPr="00311A8A">
        <w:rPr>
          <w:rFonts w:ascii="IRLotus" w:hAnsi="IRLotus" w:cs="IRLotus"/>
          <w:b/>
          <w:bCs/>
          <w:sz w:val="26"/>
          <w:szCs w:val="26"/>
          <w:highlight w:val="yellow"/>
          <w:rtl/>
        </w:rPr>
        <w:t>الشَّرْقَاوِيُّ 1972، ص 22-23</w:t>
      </w:r>
      <w:r w:rsidRPr="00311A8A">
        <w:rPr>
          <w:rFonts w:ascii="IRLotus" w:hAnsi="IRLotus" w:cs="IRLotus" w:hint="cs"/>
          <w:b/>
          <w:bCs/>
          <w:sz w:val="26"/>
          <w:szCs w:val="26"/>
          <w:highlight w:val="yellow"/>
          <w:rtl/>
        </w:rPr>
        <w:t>)</w:t>
      </w:r>
    </w:p>
    <w:p w14:paraId="4826A9B8" w14:textId="4787ACBA" w:rsidR="006B5CA3" w:rsidRPr="00B264FA" w:rsidRDefault="006B5CA3" w:rsidP="006B5CA3">
      <w:pPr>
        <w:spacing w:line="240" w:lineRule="auto"/>
        <w:jc w:val="both"/>
        <w:rPr>
          <w:rFonts w:ascii="IRLotus" w:hAnsi="IRLotus" w:cs="IRLotus"/>
          <w:sz w:val="26"/>
          <w:szCs w:val="26"/>
          <w:rtl/>
        </w:rPr>
      </w:pPr>
      <w:r w:rsidRPr="00B264FA">
        <w:rPr>
          <w:rFonts w:ascii="IRLotus" w:hAnsi="IRLotus" w:cs="IRLotus"/>
          <w:sz w:val="26"/>
          <w:szCs w:val="26"/>
          <w:rtl/>
        </w:rPr>
        <w:t>يتجلّى في هذا النص المسرحي حضور الوظيفة الإفهامية بشكل واضح من خلال حرص الشخصيات على نقل المعلومات الدقيقة وتحذير المتلقين من المخاطر المحتملة، بما يعكس طبيعة العلاقة التواصلية بين المرسل والمتلقي في النص. يظهر هذا بوضوح في خطاب بشر للحسين حين يحذره من شرب الماء أو العسل في القصر، ويستند تحذيره إلى واقعة تاريخية واقعية تتعلق بموت الحسن عليه الرحمة بسبب تسميم عسله. إن استخدام بشر لهذه المعلومة التاريخية يعكس البعد المرجعي للخطاب، حيث يهدف إلى توصيل حقيقة واقعية دقيقة لشخصية الحسين وتحذيره من مخاطر محتملة، كما يضفي على الحوار عنصرًا من الواقعية والتوثيق التاريخي الذي يعزز من مصداقية النص</w:t>
      </w:r>
      <w:r w:rsidRPr="00B264FA">
        <w:rPr>
          <w:rFonts w:ascii="IRLotus" w:hAnsi="IRLotus" w:cs="IRLotus"/>
          <w:sz w:val="26"/>
          <w:szCs w:val="26"/>
        </w:rPr>
        <w:t>.</w:t>
      </w:r>
    </w:p>
    <w:p w14:paraId="0E49CA58"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كما تتجلى الوظيفة الإفهامية في رد الحسين الذي يعكس إدراكه للموقف وفهمه للظروف المحيطة به، حين يقول إن ظمئه لا يقلل من موقفه من المخاطر المحيطة بالقصر، ويؤكد على استعداده لمواجهة الموت إذا استدعى الأمر ذلك. هنا، تتحول اللغة إلى وسيلة لإبراز فهم الحسين للموقف ووضوحه في التعامل مع المعلومات المقدمة من بشر، ما يبرز الدور المرجعي للنص في نقل الحقائق وتوضيح الوقائع بشكل دقيق</w:t>
      </w:r>
      <w:r w:rsidRPr="00B264FA">
        <w:rPr>
          <w:rFonts w:ascii="IRLotus" w:hAnsi="IRLotus" w:cs="IRLotus"/>
          <w:sz w:val="26"/>
          <w:szCs w:val="26"/>
        </w:rPr>
        <w:t>.</w:t>
      </w:r>
    </w:p>
    <w:p w14:paraId="3FE444EC" w14:textId="1606F9F2"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 xml:space="preserve">بالإضافة إلى ذلك، يظهر الجانب الإفهامي في الحوار بين الحسين وسعيد، حيث يحرص الأخير على نقل التوجيهات الدقيقة حول تصرفاته أمام رجال الكوفة، وهو ما يعكس التزام الشخصيات بسياق الأحداث وتوصيل المعلومات بشكل واضح. ويستمر هذا التوجه في حرص الحسين على ضمان فهم الجميع للموقف قبل اتخاذ أي خطوة، حيث يؤكد على عدم حدوث أي شيء حتى يتبين وجه الأمر، مما يعكس التنظيم </w:t>
      </w:r>
      <w:r w:rsidRPr="00B264FA">
        <w:rPr>
          <w:rFonts w:ascii="IRLotus" w:hAnsi="IRLotus" w:cs="IRLotus"/>
          <w:sz w:val="26"/>
          <w:szCs w:val="26"/>
          <w:highlight w:val="yellow"/>
          <w:rtl/>
        </w:rPr>
        <w:t>ا</w:t>
      </w:r>
      <w:r w:rsidR="00204431" w:rsidRPr="00B264FA">
        <w:rPr>
          <w:rFonts w:ascii="IRLotus" w:hAnsi="IRLotus" w:cs="IRLotus"/>
          <w:sz w:val="26"/>
          <w:szCs w:val="26"/>
          <w:highlight w:val="yellow"/>
          <w:rtl/>
        </w:rPr>
        <w:t>لتواصل</w:t>
      </w:r>
      <w:r w:rsidRPr="00B264FA">
        <w:rPr>
          <w:rFonts w:ascii="IRLotus" w:hAnsi="IRLotus" w:cs="IRLotus"/>
          <w:sz w:val="26"/>
          <w:szCs w:val="26"/>
          <w:highlight w:val="yellow"/>
          <w:rtl/>
        </w:rPr>
        <w:t>ي</w:t>
      </w:r>
      <w:r w:rsidRPr="00B264FA">
        <w:rPr>
          <w:rFonts w:ascii="IRLotus" w:hAnsi="IRLotus" w:cs="IRLotus"/>
          <w:sz w:val="26"/>
          <w:szCs w:val="26"/>
          <w:rtl/>
        </w:rPr>
        <w:t xml:space="preserve"> للنص ودقة نقل المعلومات بين الشخصيات</w:t>
      </w:r>
      <w:r w:rsidRPr="00B264FA">
        <w:rPr>
          <w:rFonts w:ascii="IRLotus" w:hAnsi="IRLotus" w:cs="IRLotus"/>
          <w:sz w:val="26"/>
          <w:szCs w:val="26"/>
        </w:rPr>
        <w:t>.</w:t>
      </w:r>
    </w:p>
    <w:p w14:paraId="3334D8FE" w14:textId="5CE74A31"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بهذه الطريقة، يصبح النص نموذجًا حيًا على استخدام الوظيفة الإفهامية في المسرح، إذ تتيح للشخصيات نقل المعلومات الدقيقة، وتحذير الآخرين، وتوضيح المواقف، بما يعزز فهم المتلقي للأحداث ويضمن وضوح العلاقات بين الشخصيات والسياق التاريخي الذي تدور فيه الأحداث. ويبرز هذا الاستخدام كأداة أساسية في المسرح الذي يدمج بين الواقعية التاريخية والبعد التواصلي للنص، ما يجعل الحوار وسيلة فعّالة لتقوية السياق المرجعي وتحقيق التواصل بين الكاتب والشخصيات والمتلقي على حد سواء</w:t>
      </w:r>
      <w:r w:rsidR="00573302" w:rsidRPr="00B264FA">
        <w:rPr>
          <w:rFonts w:ascii="IRLotus" w:hAnsi="IRLotus" w:cs="IRLotus" w:hint="cs"/>
          <w:sz w:val="26"/>
          <w:szCs w:val="26"/>
          <w:rtl/>
        </w:rPr>
        <w:t>.</w:t>
      </w:r>
    </w:p>
    <w:p w14:paraId="0D755827"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الوظيفة الإنتباهية</w:t>
      </w:r>
    </w:p>
    <w:p w14:paraId="69C37568" w14:textId="2C3F806D" w:rsidR="006B5CA3" w:rsidRPr="00B264FA" w:rsidRDefault="006B5CA3" w:rsidP="00154819">
      <w:pPr>
        <w:spacing w:after="0" w:line="240" w:lineRule="auto"/>
        <w:rPr>
          <w:rFonts w:ascii="Times New Roman" w:eastAsiaTheme="minorHAnsi" w:hAnsi="Times New Roman" w:cs="Times New Roman"/>
          <w:noProof w:val="0"/>
          <w:sz w:val="26"/>
          <w:szCs w:val="26"/>
          <w:lang w:bidi="ar-SA"/>
        </w:rPr>
      </w:pPr>
      <w:r w:rsidRPr="00B264FA">
        <w:rPr>
          <w:rFonts w:ascii="IRLotus" w:hAnsi="IRLotus" w:cs="IRLotus"/>
          <w:sz w:val="26"/>
          <w:szCs w:val="26"/>
          <w:rtl/>
        </w:rPr>
        <w:lastRenderedPageBreak/>
        <w:t xml:space="preserve">ويبرز الطابع الأساسي لهذه الوظيفة من كونها ذات طابع استدعائي توجيهي، بمعنى أنها لا تكتفي بنقل معلومة أو التعبير عن مشاعر، بل تتجه نحو إحداث أثر في الطرف الآخر من العملية التواصلية. </w:t>
      </w:r>
      <w:r w:rsidR="00154819" w:rsidRPr="00B264FA">
        <w:rPr>
          <w:rFonts w:ascii="IRLotus" w:hAnsi="IRLotus" w:cs="IRLotus"/>
          <w:sz w:val="26"/>
          <w:szCs w:val="26"/>
          <w:rtl/>
        </w:rPr>
        <w:t>« تتعلق هذه الوظيفة بالقناه ويطلق عليها وظيفة اقامه الاتصال مع الطرف الثاني (المرسل اليه) عن طريق الفاظ والتعابير تتيح للمرسل الاستمرار في الاتصال او قطعه»</w:t>
      </w:r>
      <w:r w:rsidR="00154819" w:rsidRPr="00B264FA">
        <w:rPr>
          <w:rFonts w:ascii="IRLotus" w:hAnsi="IRLotus" w:cs="IRLotus" w:hint="cs"/>
          <w:sz w:val="26"/>
          <w:szCs w:val="26"/>
          <w:rtl/>
        </w:rPr>
        <w:t>(جاکبسون1988م،30)</w:t>
      </w:r>
      <w:r w:rsidR="00154819" w:rsidRPr="00B264FA">
        <w:rPr>
          <w:rFonts w:ascii="Traditional Arabic" w:hAnsi="Traditional Arabic" w:cs="Traditional Arabic"/>
          <w:sz w:val="26"/>
          <w:szCs w:val="26"/>
          <w:rtl/>
        </w:rPr>
        <w:t xml:space="preserve"> </w:t>
      </w:r>
      <w:r w:rsidRPr="00B264FA">
        <w:rPr>
          <w:rFonts w:ascii="IRLotus" w:hAnsi="IRLotus" w:cs="IRLotus"/>
          <w:sz w:val="26"/>
          <w:szCs w:val="26"/>
          <w:rtl/>
        </w:rPr>
        <w:t>فهي وظيفة قائمة على التحفيز والاستثارة والتأثير المباشر، سواء كان ذلك في صورة أمر، نهي، طلب، نداء، تحذير، استمالة، إغراء، ترهيب، أو إقناع. وهي من الوظائف الحيوية في اللغة، إذ لا يخلو أي تواصل بشري فاعل من بُعدٍ توجيهيٍ ما، حتى في أكثر النصوص حياديةً، ذلك أن المتكلّم -بوعي أو دون وعي- يمارس تأثيرًا على المتلقي ويشكّل طريقة استقباله للخطاب.</w:t>
      </w:r>
    </w:p>
    <w:p w14:paraId="14FB8CD2" w14:textId="5F0114CC"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tl/>
        </w:rPr>
        <w:t>الْحُسَيْنُ: رَبِّي .. إِلَى مَنْ تَوَكَّلَ الْعَبْدُ الضَّعِيفُ؟</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أَنَا ذَاكَ أَدْعُوكَ مِثْلَ جَدِّي حِينَ طَارَدَهُ رِجَالٌ مِنْ ثَقِيفٍ قَدْ أَتَاهُمْ بِالْهِدَايَةِ</w:t>
      </w:r>
      <w:r w:rsidRPr="00311A8A">
        <w:rPr>
          <w:rFonts w:ascii="IRLotus" w:hAnsi="IRLotus" w:cs="IRLotus"/>
          <w:b/>
          <w:bCs/>
          <w:sz w:val="26"/>
          <w:szCs w:val="26"/>
          <w:highlight w:val="yellow"/>
        </w:rPr>
        <w:t>: "</w:t>
      </w:r>
      <w:r w:rsidRPr="00311A8A">
        <w:rPr>
          <w:rFonts w:ascii="IRLotus" w:hAnsi="IRLotus" w:cs="IRLotus"/>
          <w:b/>
          <w:bCs/>
          <w:sz w:val="26"/>
          <w:szCs w:val="26"/>
          <w:highlight w:val="yellow"/>
          <w:rtl/>
        </w:rPr>
        <w:t>إِنْ لَمْ يَكُنْ بِكَ رَبٌّ مِنْ غَضَبٍ عَلَيَّ فَمَا أُبَالِي</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 xml:space="preserve">إِنِّي فَزِعْتُ إِلَيْكَ مِنْ دُنْيَا يَزِيدَ وَهَرَعْتُ نَحْوَ رَحَابِكَ الْقُدْسِيِّ بِالْخَيْرِ الطَّرِيدِ وَبِكُلِّ أَحْلَامِ السَّلَامِ وَكُلِّ آمَالِ الْعَدَالَةِ أَنَا ذَا الْتَجَأْتُ إِلَيْكَ يَا ذَا الْحَوْلِ وَالْجَبَرُوتِ يَا رَبَّ الْجَلَالَةِ </w:t>
      </w:r>
      <w:r w:rsidRPr="00311A8A">
        <w:rPr>
          <w:rFonts w:ascii="IRLotus" w:hAnsi="IRLotus" w:cs="IRLotus" w:hint="cs"/>
          <w:b/>
          <w:bCs/>
          <w:sz w:val="26"/>
          <w:szCs w:val="26"/>
          <w:highlight w:val="yellow"/>
          <w:rtl/>
        </w:rPr>
        <w:t>(</w:t>
      </w:r>
      <w:r w:rsidRPr="00311A8A">
        <w:rPr>
          <w:rFonts w:ascii="IRLotus" w:hAnsi="IRLotus" w:cs="IRLotus"/>
          <w:b/>
          <w:bCs/>
          <w:sz w:val="26"/>
          <w:szCs w:val="26"/>
          <w:highlight w:val="yellow"/>
          <w:rtl/>
        </w:rPr>
        <w:t>الشَّرْقَاوِيُّ 1972، ص 55</w:t>
      </w:r>
      <w:r w:rsidRPr="00311A8A">
        <w:rPr>
          <w:rFonts w:ascii="IRLotus" w:hAnsi="IRLotus" w:cs="IRLotus" w:hint="cs"/>
          <w:b/>
          <w:bCs/>
          <w:sz w:val="26"/>
          <w:szCs w:val="26"/>
          <w:highlight w:val="yellow"/>
          <w:rtl/>
        </w:rPr>
        <w:t>)</w:t>
      </w:r>
    </w:p>
    <w:p w14:paraId="54C0D763" w14:textId="4E7C6355"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يتجلّى في هذا النص حضور الوظيفة الانتباهية بشكل واضح من خلال التركيز على إنشاء التواصل وضمان استمراريته بين الحسين وربه، وهو ما يعكس البعد التواصلي للنص على المستوى الروحي والوجداني. تبدأ الشخصية بحوار داخلي متوجّه إلى الله، إذ يطرح الحسين سؤالًا استنكاريًا يستهدف جذب انتباه الذات الإيمانية والتركيز على المرسل إليه، وهو الرب القادر على حماية العبد الضعيف. إن صياغة السؤال بهذا الشكل، “ربي .. إلى من توكل العبد الضعيف؟”، تُظهر حرص المتحدث على ضبط قناة الاتصال مع المرسل إليه والتأكد من وجود الانتباه الكامل من قبله، كما أنها تتيح له تنظيم خطاباته التالية داخل سياق الخطر والتهديد من جهة يزيد ورجاله</w:t>
      </w:r>
      <w:r w:rsidRPr="00B264FA">
        <w:rPr>
          <w:rFonts w:ascii="IRLotus" w:hAnsi="IRLotus" w:cs="IRLotus"/>
          <w:sz w:val="26"/>
          <w:szCs w:val="26"/>
        </w:rPr>
        <w:t>.</w:t>
      </w:r>
    </w:p>
    <w:p w14:paraId="0513D393"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تستمر الوظيفة الانتباهية في النص مع التعبير عن اللجوء إلى الله واستحضار ذكريات الجد في مواجهة الظلم، ما يخلق جسرًا تواصليًا بين الشخصيات المتخيلة والتاريخية والمستوى الروحي للنص. إن هذا التوجه يعكس رغبة الكاتب في المحافظة على استمرارية الانتباه والارتباط النفسي بين المتحدث والمخاطَب، وفي هذه الحالة الله، ما يجعل الحوار الداخلي بمثابة قناة تواصل حيّة، تُؤكد على تفاعل المرسل مع المرسل إليه في إطار شعوري وروحي مكثف</w:t>
      </w:r>
      <w:r w:rsidRPr="00B264FA">
        <w:rPr>
          <w:rFonts w:ascii="IRLotus" w:hAnsi="IRLotus" w:cs="IRLotus"/>
          <w:sz w:val="26"/>
          <w:szCs w:val="26"/>
        </w:rPr>
        <w:t>.</w:t>
      </w:r>
    </w:p>
    <w:p w14:paraId="64A86360"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 xml:space="preserve">علاوة على ذلك، تظهر الوظيفة الانتباهية في حرص الحسين على التأكيد على عناصر متعددة في حديثه، إذ يربط بين خوفه من دنيا يزيد، وهرعته نحو رحاب الله، وما يحمله قلبه من آمال في السلام والعدالة، مستخدمًا صياغات متكررة ومركزة لضمان الانتباه الكامل من المرسل إليه واستمرارية التواصل الروحي. ومن خلال هذا الاستخدام، يصبح النص ليس مجرد نقل معلومات أو مشاعر، بل وسيلة لإقامة قناة تواصلية </w:t>
      </w:r>
      <w:r w:rsidRPr="00B264FA">
        <w:rPr>
          <w:rFonts w:ascii="IRLotus" w:hAnsi="IRLotus" w:cs="IRLotus"/>
          <w:sz w:val="26"/>
          <w:szCs w:val="26"/>
          <w:rtl/>
        </w:rPr>
        <w:lastRenderedPageBreak/>
        <w:t>مستمرة، تحافظ على الانتباه والتركيز في أبعاد متعددة: الشخصي، الروحي، والأخلاقي</w:t>
      </w:r>
      <w:r w:rsidRPr="00B264FA">
        <w:rPr>
          <w:rFonts w:ascii="IRLotus" w:hAnsi="IRLotus" w:cs="IRLotus"/>
          <w:sz w:val="26"/>
          <w:szCs w:val="26"/>
        </w:rPr>
        <w:t>.</w:t>
      </w:r>
    </w:p>
    <w:p w14:paraId="2AF943D3"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يمكن القول إن هذا النص نموذج حي للوظيفة الانتباهية في المسرح الديني والتاريخي، إذ يعكس قدرة الكاتب على استخدام اللغة للحفاظ على تفاعل المرسل والمتلقي، وضبط العلاقة التواصليّة على مستويات متعددة، سواء على مستوى الحادثة الواقعية أو البعد الرمزي للأحداث. ويؤكد هذا التحليل أن الحسين في النص لا يخاطب فقط الله، بل يخلق أيضًا حالة من الانتباه النفسي والمعنوي للمتلقي من خلال قوة الخطاب وجمالية التعبير.يتجلّى في هذا النص حضور الوظيفة الانتباهية بشكل واضح من خلال التركيز على إنشاء التواصل وضمان استمراريته بين الحسين وربه، وهو ما يعكس البعد التواصلي للنص على المستوى الروحي والوجداني. تبدأ الشخصية بحوار داخلي متوجّه إلى الله، إذ يطرح الحسين سؤالًا استنكاريًا يستهدف جذب انتباه الذات الإيمانية والتركيز على المرسل إليه، وهو الرب القادر على حماية العبد الضعيف. إن صياغة السؤال بهذا الشكل، “ربي .. إلى من توكل العبد الضعيف؟”، تُظهر حرص المتحدث على ضبط قناة الاتصال مع المرسل إليه والتأكد من وجود الانتباه الكامل من قبله، كما أنها تتيح له تنظيم خطاباته التالية داخل سياق الخطر والتهديد من جهة يزيد ورجاله</w:t>
      </w:r>
      <w:r w:rsidRPr="00B264FA">
        <w:rPr>
          <w:rFonts w:ascii="IRLotus" w:hAnsi="IRLotus" w:cs="IRLotus"/>
          <w:sz w:val="26"/>
          <w:szCs w:val="26"/>
        </w:rPr>
        <w:t>.</w:t>
      </w:r>
    </w:p>
    <w:p w14:paraId="37ABC959"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الوظيفة الميتاليسانية </w:t>
      </w:r>
    </w:p>
    <w:p w14:paraId="5458310D" w14:textId="7D6D97E2"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وتتجلى الوظيفة الميتاليسانية كأداة مركزية في تنظيم عملية الاتصال اللغوي، حيث إنها تساهم في جعل التواصل أكثر وضوحًا وأقل عرضةً للخطأ، خاصة في الحالات التي تنشأ فيها مشاكل تتعلق بعدم فهم الشيفرة أو عدم تطابقها بين المرسل والمرسل إليه.</w:t>
      </w:r>
      <w:r w:rsidR="00154819" w:rsidRPr="00B264FA">
        <w:rPr>
          <w:rFonts w:ascii="Traditional Arabic" w:hAnsi="Traditional Arabic" w:cs="Traditional Arabic"/>
          <w:sz w:val="26"/>
          <w:szCs w:val="26"/>
          <w:rtl/>
        </w:rPr>
        <w:t xml:space="preserve"> </w:t>
      </w:r>
      <w:r w:rsidR="00154819" w:rsidRPr="00B264FA">
        <w:rPr>
          <w:rFonts w:ascii="IRLotus" w:hAnsi="IRLotus" w:cs="IRLotus"/>
          <w:sz w:val="26"/>
          <w:szCs w:val="26"/>
          <w:rtl/>
        </w:rPr>
        <w:t>«هذه الوظيفة تبرز بين المتخاطبين علی سطح الخطاب عندما تستدعي الحاجة التاکد من الاستعمال السليم للقانون والسنن ؛ اذ يکون الخطاب مرکزاً علی السنن ؛ لانه يشغل وظيفة الشرح والتفسير»(جاکبسون1988م، ص31)</w:t>
      </w:r>
      <w:r w:rsidRPr="00B264FA">
        <w:rPr>
          <w:rFonts w:ascii="IRLotus" w:hAnsi="IRLotus" w:cs="IRLotus"/>
          <w:sz w:val="26"/>
          <w:szCs w:val="26"/>
          <w:rtl/>
        </w:rPr>
        <w:t xml:space="preserve"> ولذا فهي ذات صلة وثيقة بما يُعرف بـ"معيار صحة التواصل"، إذ إنها تتيح مراجعة الخطاب وتصحيحه، وضمان توافق الفهم بين الطرفين.</w:t>
      </w:r>
    </w:p>
    <w:p w14:paraId="0812A624" w14:textId="77777777"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tl/>
        </w:rPr>
        <w:t>زَيْنَبُ: يَقُولُ ابْنُ عَمِّكَ وَجِّهْ رِكَابَكَ نَحْوَ الْيَمَنِ فَإِنَّ بِهَا شِيعَةً يَمْنَعُونَكَ مَهْمَا يَكُنْ مِنْ ظُرُوفِ الزَّمَنِ فَيَأْتِي إِلَيْكَ رِجَالُ الْعِرَاقِ وَأَهْلُ الْحِجَازِ وَمَنْ يَرْتَضِيكَ فَخُذْ مِنْهُمُ الْبَيْعَةَ الْحَاسِمَةَ وَلَا تَمْضِ لِلْكُوفَةِ الظَّالِمَةِ فَقَدْ قُتِلَ قَبْلَ هَذَا أَبَاكَ</w:t>
      </w:r>
      <w:r w:rsidRPr="00311A8A">
        <w:rPr>
          <w:rFonts w:ascii="IRLotus" w:hAnsi="IRLotus" w:cs="IRLotus"/>
          <w:b/>
          <w:bCs/>
          <w:sz w:val="26"/>
          <w:szCs w:val="26"/>
          <w:highlight w:val="yellow"/>
        </w:rPr>
        <w:t>.</w:t>
      </w:r>
    </w:p>
    <w:p w14:paraId="3AB117F5" w14:textId="1B863E59" w:rsidR="00285583" w:rsidRPr="00B264FA" w:rsidRDefault="00285583" w:rsidP="00285583">
      <w:pPr>
        <w:spacing w:line="240" w:lineRule="auto"/>
        <w:jc w:val="both"/>
        <w:rPr>
          <w:rFonts w:ascii="IRLotus" w:hAnsi="IRLotus" w:cs="IRLotus"/>
          <w:b/>
          <w:bCs/>
          <w:sz w:val="26"/>
          <w:szCs w:val="26"/>
          <w:rtl/>
        </w:rPr>
      </w:pPr>
      <w:r w:rsidRPr="00B264FA">
        <w:rPr>
          <w:rFonts w:ascii="IRLotus" w:hAnsi="IRLotus" w:cs="IRLotus"/>
          <w:b/>
          <w:bCs/>
          <w:sz w:val="26"/>
          <w:szCs w:val="26"/>
        </w:rPr>
        <w:t xml:space="preserve"> </w:t>
      </w:r>
      <w:r w:rsidRPr="00311A8A">
        <w:rPr>
          <w:rFonts w:ascii="IRLotus" w:hAnsi="IRLotus" w:cs="IRLotus"/>
          <w:b/>
          <w:bCs/>
          <w:sz w:val="26"/>
          <w:szCs w:val="26"/>
          <w:highlight w:val="yellow"/>
          <w:rtl/>
        </w:rPr>
        <w:t>الْحُسَيْنُ: يَا لَابْنِ جَعْفَرٍ .. يَا لَابْنِ جَعْفَرٍ .. يَا لِرِسَالَتِهِ اللَّائِمَةِ</w:t>
      </w:r>
    </w:p>
    <w:p w14:paraId="7BE16752" w14:textId="36F0D3F1"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tl/>
        </w:rPr>
        <w:t>زَيْنَبُ: (مُسْتَمِرَّةً) يَقُولُ ابْنُ عَمِّكَ لَا تَذْكُرِ الْكُوفَةَ الْغَاشِمَةَ وَلَا تَرْكَبِ الْمُغَشَّوَاتِ الْجِسَامَ إِلَى أَهْلِهَا وَلَا تَأْمَنَنَّ وَأَنْتَ الْحَكِيمُ لِجُهَّالِهَا فَهُمْ مُوقِظُو الْفِتْنَةِ النَّائِمَةِ فَخَلِّ الْعِرَاقَ وَسِرْ لِلْيَمَنِ فَإِنْ شَاءَ أَلَّا تُصِيبَ الْيَمَنَ فَعُدْ لِلْحِجَازِ وَالِدْ بِالْحَرَمِ</w:t>
      </w:r>
    </w:p>
    <w:p w14:paraId="480A5D42" w14:textId="288D4D05" w:rsidR="00285583" w:rsidRPr="00B264FA" w:rsidRDefault="00285583" w:rsidP="00285583">
      <w:pPr>
        <w:spacing w:line="240" w:lineRule="auto"/>
        <w:jc w:val="both"/>
        <w:rPr>
          <w:rFonts w:ascii="IRLotus" w:hAnsi="IRLotus" w:cs="IRLotus"/>
          <w:b/>
          <w:bCs/>
          <w:sz w:val="26"/>
          <w:szCs w:val="26"/>
          <w:rtl/>
        </w:rPr>
      </w:pPr>
      <w:r w:rsidRPr="00311A8A">
        <w:rPr>
          <w:rFonts w:ascii="IRLotus" w:hAnsi="IRLotus" w:cs="IRLotus"/>
          <w:b/>
          <w:bCs/>
          <w:sz w:val="26"/>
          <w:szCs w:val="26"/>
          <w:highlight w:val="yellow"/>
          <w:rtl/>
        </w:rPr>
        <w:t>الْحُسَيْنُ: (بِمَرَارَةٍ هَائِلَةٍ) أَعُودُ وَأَرْضَى رِضَاءَ الذَّلِيلِ وَأَعْلُكُ مِثْلَ الْجَوَادِ الْعَصِيِّ حَدِيدَ اللُّجُمِ؟ وَحَوْلِي جَبَابِرَةٌ يَحْكُمُونَ؟</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 xml:space="preserve">يُثِيرُونَ فِي الْقَلْبِ شَتَّى الْمَخَاوِفِ أَوْ يُلْهِبُونَ سُعَارَ </w:t>
      </w:r>
      <w:r w:rsidRPr="00311A8A">
        <w:rPr>
          <w:rFonts w:ascii="IRLotus" w:hAnsi="IRLotus" w:cs="IRLotus"/>
          <w:b/>
          <w:bCs/>
          <w:sz w:val="26"/>
          <w:szCs w:val="26"/>
          <w:highlight w:val="yellow"/>
          <w:rtl/>
        </w:rPr>
        <w:lastRenderedPageBreak/>
        <w:t>الطَّمَعِ! وَيَنْتَهِكُونَ ذِمَارَ الشَّرِيعَةِ وَالْحُرُمَاتِ، لِيُحْيُوا الْبِدَعَ؟</w:t>
      </w:r>
      <w:r w:rsidRPr="00311A8A">
        <w:rPr>
          <w:rFonts w:ascii="IRLotus" w:hAnsi="IRLotus" w:cs="IRLotus"/>
          <w:b/>
          <w:bCs/>
          <w:sz w:val="26"/>
          <w:szCs w:val="26"/>
          <w:highlight w:val="yellow"/>
        </w:rPr>
        <w:t xml:space="preserve"> </w:t>
      </w:r>
      <w:r w:rsidRPr="00311A8A">
        <w:rPr>
          <w:rFonts w:ascii="IRLotus" w:hAnsi="IRLotus" w:cs="IRLotus" w:hint="cs"/>
          <w:b/>
          <w:bCs/>
          <w:sz w:val="26"/>
          <w:szCs w:val="26"/>
          <w:highlight w:val="yellow"/>
          <w:rtl/>
        </w:rPr>
        <w:t xml:space="preserve"> (</w:t>
      </w:r>
      <w:r w:rsidRPr="00311A8A">
        <w:rPr>
          <w:rFonts w:ascii="IRLotus" w:hAnsi="IRLotus" w:cs="IRLotus"/>
          <w:b/>
          <w:bCs/>
          <w:sz w:val="26"/>
          <w:szCs w:val="26"/>
          <w:highlight w:val="yellow"/>
          <w:rtl/>
        </w:rPr>
        <w:t>الشَّرْقَاوِيُّ 1972، ص 103-104</w:t>
      </w:r>
      <w:r w:rsidRPr="00311A8A">
        <w:rPr>
          <w:rFonts w:ascii="IRLotus" w:hAnsi="IRLotus" w:cs="IRLotus" w:hint="cs"/>
          <w:b/>
          <w:bCs/>
          <w:sz w:val="26"/>
          <w:szCs w:val="26"/>
          <w:highlight w:val="yellow"/>
          <w:rtl/>
        </w:rPr>
        <w:t>)</w:t>
      </w:r>
    </w:p>
    <w:p w14:paraId="520AB10C" w14:textId="35B0506E"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تظهر في هذا المقتطف حضورا بارزا للوظيفة الميتالغوية من خلال اعتماد الخطاب على آليات توضيح الشفرة وتحديد الدلالات والقيم الاتصالية بين المتكلمين، حيث لا يقتصر القول على نقل معطى سياسي أو توجيه عملي فحسب، بل يتعداه إلى شرح شروط الفعل وتوضيح المصطلحات السياسية والاتفاقيات الرمزية الضرورية لاستمرار التواصل الجماعي. تختار زينب ألفاظًا وإضاءات نحوية تؤسس لقواعد عمل واضحة: توجيه الوجه نحو اليمن، طلب البيعة الحاسمة، التحذير من الذهاب إلى "الكوفة الغاشمة" و"المغشوات الجسام" كلها صيغ لا تنقل حدثًا فحسب بل تشرح باختصار ما ينبغي أن يفهمه المتلقي من هذه الإحالات؛ فهي تحدد منظومة دلالية مشتركة بين المرسل والمستقبل وتزيل أي لبس قد ينشأ عن تعدد المسارات السياسية أو الاختلاف في فهم المصطلحات. بهذا المعنى تصبح اللغة أداة لتعريف المصطلحات السياسية والعملية داخل المجموعة، فتارة توضح ما ينبغي فهمه بـ«البيعة الحاسمة» وتارة تميز بين «الكوفة» ككيان غاشم و«اليمن» كحاضنة للموالين، مما يسهم في توحيد الشفرة التواصلية داخل السياق الدرامي</w:t>
      </w:r>
      <w:r w:rsidRPr="00B264FA">
        <w:rPr>
          <w:rFonts w:ascii="IRLotus" w:hAnsi="IRLotus" w:cs="IRLotus"/>
          <w:sz w:val="26"/>
          <w:szCs w:val="26"/>
        </w:rPr>
        <w:t>.</w:t>
      </w:r>
    </w:p>
    <w:p w14:paraId="7F36F764" w14:textId="77777777" w:rsidR="006B5CA3" w:rsidRPr="00B264FA" w:rsidRDefault="006B5CA3" w:rsidP="006B5CA3">
      <w:pPr>
        <w:spacing w:line="240" w:lineRule="auto"/>
        <w:jc w:val="both"/>
        <w:rPr>
          <w:rFonts w:ascii="IRLotus" w:hAnsi="IRLotus" w:cs="IRLotus"/>
          <w:sz w:val="26"/>
          <w:szCs w:val="26"/>
        </w:rPr>
      </w:pPr>
      <w:r w:rsidRPr="00B264FA">
        <w:rPr>
          <w:rFonts w:ascii="IRLotus" w:hAnsi="IRLotus" w:cs="IRLotus"/>
          <w:sz w:val="26"/>
          <w:szCs w:val="26"/>
          <w:rtl/>
        </w:rPr>
        <w:t>على صعيد آخر، تتبدى الميتالغوية في تصرف الحسين اللغوي حين ينفجر بردٍّ يحمل تأملاً نقديًا على المعاني المقترحة، فتكراره لـ«يا لابن جعفر» وعباراته المريرة يعملان كمرآة لغوية تعيد فحص الدلالات التي قد تكون مُرسلةً من الآخرين؛ فهو لا يكتفي بالاستجابة بل يعيد تسمية الوضع ويستفسر لغويًا عن مشروعية القبول بالذل والرضى، مما يضع اللغة نفسها محلّ تساؤل ومراجعة. هذا التحول من استخدام اللغة كوسيلة إخبارية إلى استخدامها كأداة لتعريف ومراجعة الدلالات يكشف عن وظيفة ميتالغوية قوية، إذ تُظهر المسرحية وعيًا بلغويًا ذاتيًا يُمكّن الشخصيات من ضبط التواصل الداخلي وضمان فهم مشتركٍ لمفاهيمٍ محورية</w:t>
      </w:r>
      <w:r w:rsidRPr="00B264FA">
        <w:rPr>
          <w:rFonts w:ascii="IRLotus" w:hAnsi="IRLotus" w:cs="IRLotus"/>
          <w:sz w:val="26"/>
          <w:szCs w:val="26"/>
        </w:rPr>
        <w:t>.</w:t>
      </w:r>
    </w:p>
    <w:p w14:paraId="7ABDB5F4"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sz w:val="26"/>
          <w:szCs w:val="26"/>
          <w:rtl/>
        </w:rPr>
        <w:t>وبذلك، تؤدي الوظيفة الميتالغوية دورًا حاسمًا في نصٍّ سياسي-درامي مثل هذا، إذ تضمن وضوح الشفرات الاتصالية وتوحيد المعنى بين الأطراف، وتكشف عن الصراع ليس فقط على الأراضي والأهواء بل على مفاهيم اللغة نفسها، التي تتوزّع بين من يريد أن يحددها سياسةً ومن يريد أن يعيد تسميتها مبدئيًا أو نقديًا</w:t>
      </w:r>
      <w:r w:rsidRPr="00B264FA">
        <w:rPr>
          <w:rFonts w:ascii="IRLotus" w:hAnsi="IRLotus" w:cs="IRLotus"/>
          <w:b/>
          <w:bCs/>
          <w:sz w:val="26"/>
          <w:szCs w:val="26"/>
        </w:rPr>
        <w:t>.</w:t>
      </w:r>
    </w:p>
    <w:p w14:paraId="5AFA50F1" w14:textId="77777777" w:rsidR="006B5CA3" w:rsidRPr="00B264FA" w:rsidRDefault="006B5CA3" w:rsidP="006B5CA3">
      <w:pPr>
        <w:spacing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الوظيفة المرجعية </w:t>
      </w:r>
    </w:p>
    <w:p w14:paraId="50001EC4" w14:textId="77777777" w:rsidR="006B5CA3" w:rsidRPr="00B264FA" w:rsidRDefault="006B5CA3" w:rsidP="006B5CA3">
      <w:pPr>
        <w:spacing w:line="240" w:lineRule="auto"/>
        <w:jc w:val="both"/>
        <w:rPr>
          <w:rFonts w:ascii="IRLotus" w:hAnsi="IRLotus" w:cs="IRLotus"/>
          <w:b/>
          <w:bCs/>
          <w:sz w:val="26"/>
          <w:szCs w:val="26"/>
        </w:rPr>
      </w:pPr>
      <w:r w:rsidRPr="00B264FA">
        <w:rPr>
          <w:rFonts w:ascii="IRLotus" w:hAnsi="IRLotus" w:cs="IRLotus"/>
          <w:sz w:val="26"/>
          <w:szCs w:val="26"/>
          <w:rtl/>
        </w:rPr>
        <w:t xml:space="preserve">تستعمل هذه الوظيفة لاغراض منها الاخبار او التعبير عن العواطف والمشاعر او التاثير في الاخرين ، او الاستجابه لتوقعات الاخرين او التخيل»(بلعيد 2003م، ص46) تشكل الوظيفة المرجعية العمود الفقري لأي عملية تواصل لغوي ناجحة، إذ تعتمد على قدرة المتكلم على تقديم معطيات تفصيلية وموضوعية تتناسب مع السياق الذي يتم فيه الحوار أو الخطاب. وتتجلى هذه الوظيفة في العديد من أشكال الاستخدامات اللغوية التي تهدف إلى نقل المعرفة والحقائق من المرسل إلى المستقبل، وتعد أداة </w:t>
      </w:r>
      <w:r w:rsidRPr="00B264FA">
        <w:rPr>
          <w:rFonts w:ascii="IRLotus" w:hAnsi="IRLotus" w:cs="IRLotus"/>
          <w:sz w:val="26"/>
          <w:szCs w:val="26"/>
          <w:rtl/>
        </w:rPr>
        <w:lastRenderedPageBreak/>
        <w:t>رئيسية في توضيح وتفسير العالم المحيط بالإنسان وتعد هذه الوظيفة من المراجع البارزه والقويه في الخطابات الادبيه لانها «وظيفة يعتمد عليها لتعيين الموضوعات كي تاخذ دلالات معينه ولذلك تسمی ايضا بالوظيفة التعيينيه وبالآتی فهي تجسد علاقه بين الدال والمدلول ، ویتضح ذلك بشكل جلي في الضمائر الشخصية ، واسماء الاشارة ، واسماء الموصول واسماء الاعلام ، وازمنه الافعال»(بدوح 2012م ،ط1 ،ص51)</w:t>
      </w:r>
    </w:p>
    <w:p w14:paraId="23E7369F" w14:textId="1BB624D9" w:rsidR="00285583" w:rsidRPr="00B264FA" w:rsidRDefault="00285583" w:rsidP="00285583">
      <w:pPr>
        <w:spacing w:after="0" w:line="240" w:lineRule="auto"/>
        <w:jc w:val="both"/>
        <w:rPr>
          <w:rFonts w:ascii="IRLotus" w:hAnsi="IRLotus" w:cs="IRLotus"/>
          <w:b/>
          <w:bCs/>
          <w:sz w:val="26"/>
          <w:szCs w:val="26"/>
          <w:rtl/>
        </w:rPr>
      </w:pPr>
      <w:r w:rsidRPr="00311A8A">
        <w:rPr>
          <w:rFonts w:ascii="IRLotus" w:hAnsi="IRLotus" w:cs="IRLotus"/>
          <w:b/>
          <w:bCs/>
          <w:sz w:val="26"/>
          <w:szCs w:val="26"/>
          <w:highlight w:val="yellow"/>
          <w:rtl/>
        </w:rPr>
        <w:t>الْحُسَيْنُ: يَا أَهْلَ الْكُوفَةِ قَدْ كَفَرْتُمْ عَمَّا أَسْلَفْتُمْ مِنْ ذَنْبٍ أَنَا ذَا أُقْبِلُ! يَا أَهْلَ الْكُوفَةِ بَعْضَ الصَّبْرِ أَنَا ذَا آتِي وَلَنَا النَّصْرُ لَمْ أَخْرُجْ أَشِراً وَلَا بَطِراً لَمْ أَخْرُجْ أَطْلُبُ مَمْلَكَةً لَكِنْ كَيْ أُلْقِيَ مَوْعِظَةً وَلِكَيْ أَنْهَى عَنْ مُنْكَرٍ وَلِكَيْ أُصْلِحَ مَنْ حَوْلِي وَلِأُلْقِيَ نُوراً فِي اللَّيْلِ يَا أَهْلَ الْكُوفَةِ أَنَا ذَا أُقْبِلُ أَنَا ذَا أُقْبِلُ يَا ابْنَ عَقِيلٍ</w:t>
      </w:r>
      <w:r w:rsidRPr="00311A8A">
        <w:rPr>
          <w:rFonts w:ascii="IRLotus" w:hAnsi="IRLotus" w:cs="IRLotus"/>
          <w:b/>
          <w:bCs/>
          <w:sz w:val="26"/>
          <w:szCs w:val="26"/>
          <w:highlight w:val="yellow"/>
        </w:rPr>
        <w:t xml:space="preserve">! </w:t>
      </w:r>
      <w:r w:rsidRPr="00311A8A">
        <w:rPr>
          <w:rFonts w:ascii="IRLotus" w:hAnsi="IRLotus" w:cs="IRLotus" w:hint="cs"/>
          <w:b/>
          <w:bCs/>
          <w:sz w:val="26"/>
          <w:szCs w:val="26"/>
          <w:highlight w:val="yellow"/>
          <w:rtl/>
        </w:rPr>
        <w:t xml:space="preserve"> (</w:t>
      </w:r>
      <w:r w:rsidRPr="00311A8A">
        <w:rPr>
          <w:rFonts w:ascii="IRLotus" w:hAnsi="IRLotus" w:cs="IRLotus"/>
          <w:b/>
          <w:bCs/>
          <w:sz w:val="26"/>
          <w:szCs w:val="26"/>
          <w:highlight w:val="yellow"/>
          <w:rtl/>
        </w:rPr>
        <w:t>الشَّرْقَاوِيُّ 1972، ص 104-105</w:t>
      </w:r>
      <w:r w:rsidRPr="00311A8A">
        <w:rPr>
          <w:rFonts w:ascii="IRLotus" w:hAnsi="IRLotus" w:cs="IRLotus" w:hint="cs"/>
          <w:b/>
          <w:bCs/>
          <w:sz w:val="26"/>
          <w:szCs w:val="26"/>
          <w:highlight w:val="yellow"/>
          <w:rtl/>
        </w:rPr>
        <w:t>)</w:t>
      </w:r>
    </w:p>
    <w:p w14:paraId="08BC3C48" w14:textId="148DEDC4"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يتجلّى في هذا المقطع حضور الوظيفة المرجعية بوضوح من خلال حرص المتكلّم على نقل معلوماتٍ ووقائعٍ وتوضيح مقاصده أمام جمهورٍ معيّن؛ فالحسين هنا لا يكتفي بالانفعال أو بالدعاء، بل يقدّم خطابًا مؤسسًا على بياناتٍ قابلة للتحقق والتدقيق، تبدأ بإعلان توجيهي إلى أهل الكوفة يدين سلوكهم ويربطه بذنبٍ سابق، ثم ينتقل إلى تقديم وقائعٍ عن موقفه الشخصي وغاية خروجه. إن عبارة «أنا ذا أقبل» بوصفها تكرارًا ليست مجرّد صيغة انفعالية فحسب، بل تُؤكد واقعية الحضور والفعل: هي إخبار بإقدام شخصي ووقائع حياة واقعية (الخروج، الوصول)، وتعمل على تثبيت حدثٍ في إطار التاريخ الدرامي للنص.</w:t>
      </w:r>
    </w:p>
    <w:p w14:paraId="38613FD1"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يتضح البعد المرجعي كذلك في توضيح القصد المشروع من الخروج: «لم أخرج أشرا أو بطرا لم أخرج أطلب مملكة لكن كي ألقي موعظة ولكي أنهى عن منكر ولأصلح من حولي»؛ هذه الجمل تحمل معلوماتٍ معرفية دقيقة عن دوافع الفعل، وتؤسس لنصٍّ تربويّ أخلاقيّ واضح. اللغة هنا تؤدي وظيفة الإحالة إلى العالم الخارجي؛ هي تسدّ ثغرة الشكّ بتقديم سردٍ واضحٍ للنوايا، وتعمل على تصحيح الوقائع في ذهن السامع، فتقوم بتوظيف الدلالة الحرفية والبيانية لشرح الغاية والحدّ من التفسيرات المغلوطة.</w:t>
      </w:r>
    </w:p>
    <w:p w14:paraId="05DA0E78"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كما تستخدم الخصائص المرجعية للغة عبر مخاطبة الحشود بـ«يا أهل الكوفة» و«يا ابن عقيل»؛ هذه الإشارات الجامعية تضع خطاب المتكلّم داخل بُنية اجتماعية محددة، وتربط ما يُقال بسياق جغرافي وتاريخي محدّد، ما يعزّز القيمة الإشارية المرجعية للخطاب بوصفه وثيقة داخل حدث تاريخي. وبهذا يصبح القول فعلًا تتقوى مصداقيته عبر العرض المنطقي للنوايا والحقائق، مع إدراك لآثار الكلام في الشارع العام.</w:t>
      </w:r>
    </w:p>
    <w:p w14:paraId="1969C765"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أخيرًا، يمكن ملاحظة أن الوظيفة المرجعية في هذا النص لا تعمل بمعزل عن وظائف أخرى، لكنها تُبقي اللغة على صفتها الأساسية كأداة لنقل معلوماتٍ والتثبت من الوقائع وتوضيح الدوافع، ما يجعل الخطاب وسيلة لتشكيل فهمٍ جمعيّ حول الحدث وتعديل الإدراك الاجتماعي تجاهه، فتتحقق بذلك وظيفة اللغة كمرآةٍ للواقع ومُفسّرةٍ له داخل السياق الدرامي.</w:t>
      </w:r>
    </w:p>
    <w:p w14:paraId="0A133135" w14:textId="77777777" w:rsidR="006B5CA3" w:rsidRPr="00B264FA" w:rsidRDefault="006B5CA3" w:rsidP="006B5CA3">
      <w:pPr>
        <w:spacing w:after="0" w:line="240" w:lineRule="auto"/>
        <w:jc w:val="both"/>
        <w:rPr>
          <w:rFonts w:ascii="IRLotus" w:hAnsi="IRLotus" w:cs="IRLotus"/>
          <w:b/>
          <w:bCs/>
          <w:sz w:val="26"/>
          <w:szCs w:val="26"/>
          <w:rtl/>
        </w:rPr>
      </w:pPr>
      <w:r w:rsidRPr="00B264FA">
        <w:rPr>
          <w:rFonts w:ascii="IRLotus" w:hAnsi="IRLotus" w:cs="IRLotus"/>
          <w:b/>
          <w:bCs/>
          <w:sz w:val="26"/>
          <w:szCs w:val="26"/>
          <w:rtl/>
        </w:rPr>
        <w:t xml:space="preserve">الوظيفة الشعرية </w:t>
      </w:r>
    </w:p>
    <w:p w14:paraId="1D53649F" w14:textId="6FD887B7" w:rsidR="006B5CA3" w:rsidRPr="00B264FA" w:rsidRDefault="006B5CA3" w:rsidP="006B5CA3">
      <w:pPr>
        <w:spacing w:after="0" w:line="240" w:lineRule="auto"/>
        <w:jc w:val="both"/>
        <w:rPr>
          <w:rFonts w:ascii="IRLotus" w:hAnsi="IRLotus" w:cs="IRLotus"/>
          <w:sz w:val="26"/>
          <w:szCs w:val="26"/>
          <w:rtl/>
        </w:rPr>
      </w:pPr>
      <w:r w:rsidRPr="00B264FA">
        <w:rPr>
          <w:rFonts w:ascii="IRLotus" w:hAnsi="IRLotus" w:cs="IRLotus"/>
          <w:sz w:val="26"/>
          <w:szCs w:val="26"/>
          <w:rtl/>
        </w:rPr>
        <w:t xml:space="preserve">في تحليل النصوص الأدبية، وخصوصاٌ الشعرية منها، تلعب الوظيفة الشعرية دوراً مركزياٍ في إبراز جماليات النص، حيث تتكامل الوظيفة مع باقي الوظائف اللغوية لتشكيل بنية معقدة تنبني على التكرار الذی </w:t>
      </w:r>
      <w:r w:rsidRPr="00B264FA">
        <w:rPr>
          <w:rFonts w:ascii="IRLotus" w:hAnsi="IRLotus" w:cs="IRLotus"/>
          <w:sz w:val="26"/>
          <w:szCs w:val="26"/>
          <w:highlight w:val="yellow"/>
          <w:rtl/>
        </w:rPr>
        <w:t>ي</w:t>
      </w:r>
      <w:r w:rsidR="00204431" w:rsidRPr="00B264FA">
        <w:rPr>
          <w:rFonts w:ascii="IRLotus" w:hAnsi="IRLotus" w:cs="IRLotus" w:hint="cs"/>
          <w:sz w:val="26"/>
          <w:szCs w:val="26"/>
          <w:highlight w:val="yellow"/>
          <w:rtl/>
        </w:rPr>
        <w:t>ُؤ</w:t>
      </w:r>
      <w:r w:rsidRPr="00B264FA">
        <w:rPr>
          <w:rFonts w:ascii="IRLotus" w:hAnsi="IRLotus" w:cs="IRLotus"/>
          <w:sz w:val="26"/>
          <w:szCs w:val="26"/>
          <w:highlight w:val="yellow"/>
          <w:rtl/>
        </w:rPr>
        <w:t>د</w:t>
      </w:r>
      <w:r w:rsidR="00204431" w:rsidRPr="00B264FA">
        <w:rPr>
          <w:rFonts w:ascii="IRLotus" w:hAnsi="IRLotus" w:cs="IRLotus" w:hint="cs"/>
          <w:sz w:val="26"/>
          <w:szCs w:val="26"/>
          <w:highlight w:val="yellow"/>
          <w:rtl/>
        </w:rPr>
        <w:t>ّ</w:t>
      </w:r>
      <w:r w:rsidRPr="00B264FA">
        <w:rPr>
          <w:rFonts w:ascii="IRLotus" w:hAnsi="IRLotus" w:cs="IRLotus"/>
          <w:sz w:val="26"/>
          <w:szCs w:val="26"/>
          <w:highlight w:val="yellow"/>
          <w:rtl/>
        </w:rPr>
        <w:t>ی</w:t>
      </w:r>
      <w:r w:rsidRPr="00B264FA">
        <w:rPr>
          <w:rFonts w:ascii="IRLotus" w:hAnsi="IRLotus" w:cs="IRLotus"/>
          <w:sz w:val="26"/>
          <w:szCs w:val="26"/>
          <w:rtl/>
        </w:rPr>
        <w:t xml:space="preserve"> دورا مهما في جمالية النصوص </w:t>
      </w:r>
      <w:r w:rsidRPr="00B264FA">
        <w:rPr>
          <w:rFonts w:ascii="IRLotus" w:hAnsi="IRLotus" w:cs="IRLotus"/>
          <w:sz w:val="26"/>
          <w:szCs w:val="26"/>
          <w:rtl/>
        </w:rPr>
        <w:lastRenderedPageBreak/>
        <w:t>الادبيه ومن اهم سمات التكرار هی «انه يركز المعنی ويوكده ويمنح النص نوعا من الموسيقی العذبه المنسجمه مع انفعالات الشاعر والكاتب في هدوئه وغضبه او فرحه وحزنه (ابو العدوس1997م،ص116)</w:t>
      </w:r>
    </w:p>
    <w:p w14:paraId="2347DB3D"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 xml:space="preserve">ويمكن القول ايضا ان الشعرية عند جاكبسون تتمجور ضمن ثلاث نقاط : الاولى : اعتبار الشهرية فرعا من فروع اللسانيات وهناك من اطلق عليها اسم الشعرية اللسانية . الثانية : الوظيفة الشعرية هي من اهم الوظائف اللغوية عنى جاكبسون الا انها لم تبلغ مستوى اهمية الوظائف المتبقية . الثالثة : شعريته هي شعرية شمولية نظرا لاهتمامه بمختلف انواع الخطابات والتي تتعدي الى اجناس ادبية اخرى (بوعسيلة، 2021م: 22-23) </w:t>
      </w:r>
    </w:p>
    <w:p w14:paraId="3ACD8215" w14:textId="43EDCAE8" w:rsidR="00285583" w:rsidRPr="00B264FA" w:rsidRDefault="00285583" w:rsidP="00285583">
      <w:pPr>
        <w:spacing w:after="0" w:line="240" w:lineRule="auto"/>
        <w:jc w:val="both"/>
        <w:rPr>
          <w:rFonts w:ascii="IRLotus" w:hAnsi="IRLotus" w:cs="IRLotus"/>
          <w:b/>
          <w:bCs/>
          <w:sz w:val="26"/>
          <w:szCs w:val="26"/>
        </w:rPr>
      </w:pPr>
      <w:r w:rsidRPr="00311A8A">
        <w:rPr>
          <w:rFonts w:ascii="IRLotus" w:hAnsi="IRLotus" w:cs="IRLotus"/>
          <w:b/>
          <w:bCs/>
          <w:sz w:val="26"/>
          <w:szCs w:val="26"/>
          <w:highlight w:val="yellow"/>
          <w:rtl/>
        </w:rPr>
        <w:t>مُسْلِمٌ: مَنْ مُبَلِّغٌ عَنِّيَ الْحُسَيْنَ نَصِيحَتِي أَلَّا يَجِيءَ إِلَى الْعِرَاقِ</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تَكْثُ الرِّجَالُ بِعَهْدِهِمْ ... إِنَّ الْعُهُودَ هُنَا شِقَاقُ يَا نَسَمَةَ اللَّيْلِ الثَّقِيلِ الْمُدْلَهِمِّ سِيرِي إِلَى رَكْبِ "الْحُسَيْنِ</w:t>
      </w:r>
      <w:r w:rsidRPr="00311A8A">
        <w:rPr>
          <w:rFonts w:ascii="IRLotus" w:hAnsi="IRLotus" w:cs="IRLotus"/>
          <w:b/>
          <w:bCs/>
          <w:sz w:val="26"/>
          <w:szCs w:val="26"/>
          <w:highlight w:val="yellow"/>
        </w:rPr>
        <w:t xml:space="preserve">" </w:t>
      </w:r>
      <w:r w:rsidRPr="00311A8A">
        <w:rPr>
          <w:rFonts w:ascii="IRLotus" w:hAnsi="IRLotus" w:cs="IRLotus"/>
          <w:b/>
          <w:bCs/>
          <w:sz w:val="26"/>
          <w:szCs w:val="26"/>
          <w:highlight w:val="yellow"/>
          <w:rtl/>
        </w:rPr>
        <w:t xml:space="preserve">سِيرِي بِدَمْعِي فَاسْكُبِيهِ وَبَلِّغِيهِ أَنَّ الَّذِينَ اسْتَصْرَخُوهُ وَبَايَعُوهُ قَلَبُوا لَهُ ظَهْرَ الْمِجَنِّ قُولِي لَهُ لَا تَسْعَ فِي إِنْقَاذِهِمْ فَاللهُ أَعْطَاهُمْ مِنَ الْحُكَّامِ قَدْرَ فَسَادِهِمْ إِنْ سَلَّطَ الرَّحْمَنُ جَبَّارِينَ فَوْقَ رِقَابِهِمْ فِيمَا رَأَى مِنْ جُبْنِهِمْ أَوْ لُؤْمِهِمْ قُولِي لَهُ أَنَّ الْإِمَامَ الْعَادِلَ الصِّدِّيقَ لَيْسَ بِمَنْ يَلِيقُ بِمِثْلِهِمْ قُولِي لَهُ أَنَّ الدَّعِيَّ شَرّاً وَبَثَّ الرُّعْبَ فِي ضُعَفَائِهِمْ أَمَّا كِرَامُهُمْ فَإِنِّي لَسْتُ أَعْرِفُ أَيْنَ هُمْ يَا نَسَمَةَ اللَّيْلِ الثَّقِيلِ الْمُدْلَهِمِّ </w:t>
      </w:r>
      <w:r w:rsidRPr="00311A8A">
        <w:rPr>
          <w:rFonts w:ascii="IRLotus" w:hAnsi="IRLotus" w:cs="IRLotus" w:hint="cs"/>
          <w:b/>
          <w:bCs/>
          <w:sz w:val="26"/>
          <w:szCs w:val="26"/>
          <w:highlight w:val="yellow"/>
          <w:rtl/>
        </w:rPr>
        <w:t>(</w:t>
      </w:r>
      <w:r w:rsidRPr="00311A8A">
        <w:rPr>
          <w:rFonts w:ascii="IRLotus" w:hAnsi="IRLotus" w:cs="IRLotus"/>
          <w:b/>
          <w:bCs/>
          <w:sz w:val="26"/>
          <w:szCs w:val="26"/>
          <w:highlight w:val="yellow"/>
          <w:rtl/>
        </w:rPr>
        <w:t>الشَّرْقَاوِيُّ 1972، ص 133</w:t>
      </w:r>
      <w:r w:rsidRPr="00311A8A">
        <w:rPr>
          <w:rFonts w:ascii="IRLotus" w:hAnsi="IRLotus" w:cs="IRLotus" w:hint="cs"/>
          <w:b/>
          <w:bCs/>
          <w:sz w:val="26"/>
          <w:szCs w:val="26"/>
          <w:highlight w:val="yellow"/>
          <w:rtl/>
        </w:rPr>
        <w:t>)</w:t>
      </w:r>
    </w:p>
    <w:p w14:paraId="6D4A3699" w14:textId="790436B1" w:rsidR="006B5CA3" w:rsidRPr="00B264FA" w:rsidRDefault="006B5CA3" w:rsidP="00285583">
      <w:pPr>
        <w:spacing w:after="0" w:line="240" w:lineRule="auto"/>
        <w:jc w:val="both"/>
        <w:rPr>
          <w:rFonts w:ascii="IRLotus" w:hAnsi="IRLotus" w:cs="IRLotus"/>
          <w:sz w:val="26"/>
          <w:szCs w:val="26"/>
        </w:rPr>
      </w:pPr>
      <w:r w:rsidRPr="00B264FA">
        <w:rPr>
          <w:rFonts w:ascii="IRLotus" w:hAnsi="IRLotus" w:cs="IRLotus"/>
          <w:sz w:val="26"/>
          <w:szCs w:val="26"/>
          <w:rtl/>
        </w:rPr>
        <w:t>يتجلّى في هذا المقطع حضور الوظيفة الشعرية بشكل جلي من خلال الاهتمام الواضح بشكل اللغة وصياغتها الإيقاعية والجمالية، بعيدًا عن مجرد نقل المعلومات أو المشاعر الواقعية. يبدأ النص بمقاطع متكررة تحمل إيقاعًا موسيقيًا داخليًا، كما في تكرار الصور الاستعارية مثل "يا نسمة الليل الثقيل المدلهم"، التي لا تهدف فقط إلى وصف الواقع الخارجي، بل تخلق إحساسًا بالعمق النفسي والدرامي، وتضفي على النص بعدًا جماليًا يثري التجربة السمعية والمتخيلة للمتلقي. هذا التكرار اللغوي والإيقاعي يعكس الوعي الفني بالبلاغة، ويؤكد أن اللغة في هذا السياق تتخذ شكلًا شعريًا يوازي الوظيفة الإخبارية.</w:t>
      </w:r>
    </w:p>
    <w:p w14:paraId="531D8E7B"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تظهر الوظيفة الشعرية أيضًا من خلال استخدام الصور المجازية والرموز التي تضفي على النص بعدًا تجريديًا وبلاغيًا، مثل "سيري بدمعي فاسكبيه وبلغيه"، حيث يتحوّل الحزن إلى عنصر فني ينسج بين العاطفة والجمالية اللغوية، وتصبح الكلمات أدوات تشكيلية للتعبير عن الألم والخطر والظلم. كما يبرز الإيقاع الداخلي في النص من خلال التوازن بين الجمل القصيرة والطويلة، وبين الاستفهام والنفي والتأكيد، وهو ما يخلق نسقًا موسيقيًا يضفي طابعًا شعريًا على الخطاب ويشد انتباه المتلقي، ويُبرز البعد الفني للغة باعتبارها أكثر من وسيلة تواصل، بل أداة تشكيلية لتجربة وجدانية متكاملة.</w:t>
      </w:r>
    </w:p>
    <w:p w14:paraId="2FEFEB1D" w14:textId="77777777" w:rsidR="006B5CA3" w:rsidRPr="00B264FA" w:rsidRDefault="006B5CA3" w:rsidP="006B5CA3">
      <w:pPr>
        <w:spacing w:after="0" w:line="240" w:lineRule="auto"/>
        <w:jc w:val="both"/>
        <w:rPr>
          <w:rFonts w:ascii="IRLotus" w:hAnsi="IRLotus" w:cs="IRLotus"/>
          <w:sz w:val="26"/>
          <w:szCs w:val="26"/>
        </w:rPr>
      </w:pPr>
      <w:r w:rsidRPr="00B264FA">
        <w:rPr>
          <w:rFonts w:ascii="IRLotus" w:hAnsi="IRLotus" w:cs="IRLotus"/>
          <w:sz w:val="26"/>
          <w:szCs w:val="26"/>
          <w:rtl/>
        </w:rPr>
        <w:t xml:space="preserve">علاوة على ذلك، يُظهر النص تلاعبًا بالصور الصوتية والمعنوية؛ فالمفردات المختارة مثل "جبارين"، "جبنهم"، و"الدعي شرى" تحمل حمولة صوتية ودلالية قوية تُسهم في توظيف اللغة على نحو شعري، بحيث يتفاعل المعنى مع الإيقاع والجرس الصوتي لكل كلمة، ما يعكس براعة النص المسرحي في تحويل الحوار إلى شعرية مباشرة. ومن هنا، يمكن القول إن النص يجسد الوظيفة الشعرية في أعلى مستوياتها، حيث تتحوّل اللغة إلى فنٍّ مستقل يعكس التجربة الإنسانية من خلال التركيب الفني، والإيقاع، </w:t>
      </w:r>
      <w:r w:rsidRPr="00B264FA">
        <w:rPr>
          <w:rFonts w:ascii="IRLotus" w:hAnsi="IRLotus" w:cs="IRLotus"/>
          <w:sz w:val="26"/>
          <w:szCs w:val="26"/>
          <w:rtl/>
        </w:rPr>
        <w:lastRenderedPageBreak/>
        <w:t>والصور المجازية، ويثري النص المسرحي بمعنى جمالي متكامل يتفاعل مع المشهد الدرامي والرسالة الفكرية للنص.</w:t>
      </w:r>
    </w:p>
    <w:p w14:paraId="7AB10D11" w14:textId="4BAE7ACE" w:rsidR="00154819" w:rsidRPr="00B264FA" w:rsidRDefault="006B5CA3" w:rsidP="00154819">
      <w:pPr>
        <w:spacing w:line="240" w:lineRule="auto"/>
        <w:jc w:val="both"/>
        <w:rPr>
          <w:rFonts w:ascii="IRLotus" w:hAnsi="IRLotus" w:cs="IRLotus"/>
          <w:sz w:val="26"/>
          <w:szCs w:val="26"/>
        </w:rPr>
      </w:pPr>
      <w:r w:rsidRPr="00B264FA">
        <w:rPr>
          <w:rFonts w:ascii="IRLotus" w:hAnsi="IRLotus" w:cs="IRLotus"/>
          <w:sz w:val="26"/>
          <w:szCs w:val="26"/>
          <w:rtl/>
        </w:rPr>
        <w:t>تركز الوظيفة المرجعية على السياق، وهي تهدف إلى نقل المعلومات عن الواقع أو وصف الأحداث والأفكار، وتشكل العمود الفقري للخطاب الإخباري والعلمي، لكنها في النص الأدبي تضيف بعدًا رمزيًا وتخيليًا، يتيح للقارئ أو المتلقي الانغماس في عالم النص واستيعاب أبعاده الفكرية والثقافية. أما الوظيفة التعبيرية، المرتبطة بالمرسل، فتكشف عن الانفعالات والمواقف الذاتية، وتضفي على النص حرارة وجدانية تجعل اللغة أكثر حيوية وقدرة على التأثير، وتبرز هذه الوظيفة في المسرح الشعري من خلال اختيار المفردات، والنبرة، والإيقاع، بما يعكس المكنونات النفسية للشخصيات</w:t>
      </w:r>
      <w:r w:rsidRPr="00B264FA">
        <w:rPr>
          <w:rFonts w:ascii="IRLotus" w:hAnsi="IRLotus" w:cs="IRLotus"/>
          <w:sz w:val="26"/>
          <w:szCs w:val="26"/>
        </w:rPr>
        <w:t>.</w:t>
      </w:r>
    </w:p>
    <w:p w14:paraId="7FAA1ED4" w14:textId="6ED4AAFE" w:rsidR="00154819" w:rsidRPr="00B264FA" w:rsidRDefault="00154819" w:rsidP="00154819">
      <w:pPr>
        <w:spacing w:line="240" w:lineRule="auto"/>
        <w:jc w:val="both"/>
        <w:rPr>
          <w:rFonts w:ascii="IRLotus" w:hAnsi="IRLotus" w:cs="IRLotus"/>
          <w:b/>
          <w:bCs/>
          <w:sz w:val="26"/>
          <w:szCs w:val="26"/>
          <w:rtl/>
        </w:rPr>
      </w:pPr>
      <w:r w:rsidRPr="00311A8A">
        <w:rPr>
          <w:rFonts w:ascii="IRLotus" w:hAnsi="IRLotus" w:cs="IRLotus" w:hint="cs"/>
          <w:b/>
          <w:bCs/>
          <w:sz w:val="26"/>
          <w:szCs w:val="26"/>
          <w:highlight w:val="yellow"/>
          <w:rtl/>
        </w:rPr>
        <w:t>النتائج</w:t>
      </w:r>
    </w:p>
    <w:p w14:paraId="02517DE6" w14:textId="4FB2CE72"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بعد  التحليل التفصيلي لنماذج من مسرحية "الحسين ثائرًا" في ضوء نظرية رومان جاكبسون للوظائف اللغوية الست، يمكن استخلاص مجموعة من النتائج العلمية الدقيقة التي تكشف عن طبيعة العلاقة بين البنية اللغوية والرؤية الفكرية في هذا العمل المسرحي. تمثل هذه النتائج خلاصة منهجية للدراسة، وتجيب عن الإشكاليات التي طرحها البحث، وتؤكد الفرضية القائلة بأن اللغة في مسرح الشرقاوي ليست وسيلة تواصل عابرة، بل هي نظام دلالي متكامل يحمل أبعادًا فنية وفكرية وتواصلية في آنٍ واحد. وفيما يلي أهم هذه النتائج:</w:t>
      </w:r>
    </w:p>
    <w:p w14:paraId="0B5798AE" w14:textId="77777777"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أثبتت الدراسة أن اللغة في مسرحية "الحسين ثائرًا" ليست مجرد أداة لنقل الأحداث أو الوقائع التاريخية، بل هي منظومة تواصلية متعددة الأبعاد تؤدي وظائف متكاملة تساهم في تشكيل المعنى وبناء التأثير الدرامي والفكري لدى المتلقي في آن واحد.</w:t>
      </w:r>
    </w:p>
    <w:p w14:paraId="3A890090" w14:textId="72E2430C"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توصل البحث إلى أن الوظيفة التعبيرية تحتل مكانة مركزية في النص، حيث تتجلى من خلال اختيار المفردات والصور اللغوية التي تعكس مشاعر الغضب والاستنكار والاستبشار، كما في حوارات شخصيات مثل سعيد وبشر وأسد، مما يضفي على المسرحية حرارة وجدانية تجعل المتلقي يعيش الحدث وكأنه حاضر فيه.</w:t>
      </w:r>
    </w:p>
    <w:p w14:paraId="34E76B5F" w14:textId="2229FF44"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أظهر التحليل أن الوظيفة المرجعية تلعب دورًا محوريًا في تقديم معلومات دقيقة عن الأحداث التاريخية والدوافع الشخصية للشخصيات، كما في خطاب الحسين الذي يوضح فيه أن خروجه لم يكن للسلطة بل لإقامة العدل وإصلاح المجتمع، مما يعزز المصداقية ويسهم في تصحيح المفاهيم الخاطئة لدى الجمهور.</w:t>
      </w:r>
    </w:p>
    <w:p w14:paraId="2D0EE89D" w14:textId="1C9B5400"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كشفت النتائج أن الوظيفة الانتباهية تتجلى في حوارات الحسين مع نفسه ومع الآخرين، سواء على المستوى الروحي في مناجاته لله أو على المستوى الاجتماعي مع الشخصيات المحيطة، مما يعكس حرص النص على إنشاء قنوات تواصلية مستمرة تضمن تفاعل المتلقي وانتباهه.</w:t>
      </w:r>
    </w:p>
    <w:p w14:paraId="4B462DD5" w14:textId="77777777"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lastRenderedPageBreak/>
        <w:t xml:space="preserve"> بين التحليل أن الوظيفة الميتالغوية تبرز من خلال حرص الشخصيات على توضيح الشفرات والمعاني الرمزية، كما في توجيهات زينب للحسين واستفساراته اللغوية عن المواقف السياسية والأخلاقية، مما يجعل اللغة نفسها موضوعًا للمراجعة والتفسير ويجنب النص الغموض الذي قد يضعف الرسالة.</w:t>
      </w:r>
    </w:p>
    <w:p w14:paraId="571A5120" w14:textId="4DA197B7" w:rsidR="005F6711" w:rsidRPr="00311A8A" w:rsidRDefault="005F6711" w:rsidP="005F6711">
      <w:pPr>
        <w:spacing w:line="240" w:lineRule="auto"/>
        <w:jc w:val="both"/>
        <w:rPr>
          <w:rFonts w:ascii="IRLotus" w:hAnsi="IRLotus" w:cs="IRLotus"/>
          <w:sz w:val="26"/>
          <w:szCs w:val="26"/>
          <w:highlight w:val="yellow"/>
          <w:rtl/>
        </w:rPr>
      </w:pPr>
      <w:r w:rsidRPr="00311A8A">
        <w:rPr>
          <w:rFonts w:ascii="IRLotus" w:hAnsi="IRLotus" w:cs="IRLotus"/>
          <w:sz w:val="26"/>
          <w:szCs w:val="26"/>
          <w:highlight w:val="yellow"/>
          <w:rtl/>
        </w:rPr>
        <w:t xml:space="preserve"> أثبتت الدراسة أن الوظيفة الشعرية تضفي على النص بعدًا جماليًا غنيًا من خلال استخدام الصور المجازية والاستعارات والإيقاع الداخلي في الحوار، كما في حديث مسلم والنصوص ذات التكرار الموسيقي المتعمد، مما يحول اللغة إلى أداة فنية تفاعلية تتجاوز الإخبار إلى الإحساس الجمالي والرمزي.</w:t>
      </w:r>
    </w:p>
    <w:p w14:paraId="5DB6C344" w14:textId="6ACC5167" w:rsidR="005F6711" w:rsidRPr="00B264FA" w:rsidRDefault="005F6711" w:rsidP="005F6711">
      <w:pPr>
        <w:spacing w:line="240" w:lineRule="auto"/>
        <w:jc w:val="both"/>
        <w:rPr>
          <w:rFonts w:ascii="IRLotus" w:hAnsi="IRLotus" w:cs="IRLotus"/>
          <w:sz w:val="26"/>
          <w:szCs w:val="26"/>
          <w:rtl/>
        </w:rPr>
      </w:pPr>
      <w:r w:rsidRPr="00311A8A">
        <w:rPr>
          <w:rFonts w:ascii="IRLotus" w:hAnsi="IRLotus" w:cs="IRLotus"/>
          <w:sz w:val="26"/>
          <w:szCs w:val="26"/>
          <w:highlight w:val="yellow"/>
          <w:rtl/>
        </w:rPr>
        <w:t>توصل البحث إلى تفاعل متكامل بين جميع الوظائف اللغوية الست في المسرحية، حيث تتداخل الوظيفة التعبيرية مع المرجعية والشعرية والانتباهية والميتالغوية والإشارية لتشكيل نص قادر على توصيل رسالة فكرية وأخلاقية وجمالية في الوقت نفسه.</w:t>
      </w:r>
    </w:p>
    <w:p w14:paraId="6FB0CC08" w14:textId="77777777" w:rsidR="00154819" w:rsidRPr="00154819" w:rsidRDefault="00154819" w:rsidP="00154819">
      <w:pPr>
        <w:spacing w:line="240" w:lineRule="auto"/>
        <w:jc w:val="both"/>
        <w:rPr>
          <w:rFonts w:ascii="IRLotus" w:hAnsi="IRLotus" w:cs="IRLotus"/>
          <w:b/>
          <w:bCs/>
          <w:sz w:val="32"/>
          <w:szCs w:val="32"/>
          <w:rtl/>
        </w:rPr>
      </w:pPr>
    </w:p>
    <w:p w14:paraId="1F6C83A6" w14:textId="77777777" w:rsidR="003059A1" w:rsidRPr="009A4A9A" w:rsidRDefault="003059A1" w:rsidP="00CE31A5">
      <w:pPr>
        <w:spacing w:line="240" w:lineRule="auto"/>
        <w:jc w:val="both"/>
        <w:rPr>
          <w:rFonts w:ascii="IRLotus" w:hAnsi="IRLotus" w:cs="IRLotus"/>
          <w:sz w:val="32"/>
          <w:szCs w:val="32"/>
          <w:rtl/>
        </w:rPr>
      </w:pPr>
    </w:p>
    <w:p w14:paraId="12A2AFB8" w14:textId="77777777" w:rsidR="006B5CA3" w:rsidRPr="006B5CA3" w:rsidRDefault="006B5CA3" w:rsidP="006B5CA3">
      <w:pPr>
        <w:spacing w:after="0" w:line="240" w:lineRule="auto"/>
        <w:jc w:val="both"/>
        <w:rPr>
          <w:rFonts w:ascii="IRLotus" w:hAnsi="IRLotus" w:cs="IRLotus"/>
          <w:sz w:val="24"/>
          <w:szCs w:val="24"/>
          <w:rtl/>
        </w:rPr>
      </w:pPr>
      <w:r w:rsidRPr="006B5CA3">
        <w:rPr>
          <w:rFonts w:ascii="IRLotus" w:hAnsi="IRLotus" w:cs="IRLotus"/>
          <w:b/>
          <w:bCs/>
          <w:sz w:val="24"/>
          <w:szCs w:val="24"/>
          <w:rtl/>
        </w:rPr>
        <w:t>المصادر والمراجع</w:t>
      </w:r>
      <w:r w:rsidRPr="006B5CA3">
        <w:rPr>
          <w:rFonts w:ascii="IRLotus" w:hAnsi="IRLotus" w:cs="IRLotus"/>
          <w:sz w:val="24"/>
          <w:szCs w:val="24"/>
          <w:rtl/>
        </w:rPr>
        <w:t xml:space="preserve"> :</w:t>
      </w:r>
    </w:p>
    <w:p w14:paraId="063BE649"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 xml:space="preserve">ابوالعدوس ، يوسف(1997م) ، الاستعاره في النقد العربی الحديث ، الابعاد المعرفيه والجماليه ، ط1 ، الاردن : الاهليه للنشر والتوزيع </w:t>
      </w:r>
    </w:p>
    <w:p w14:paraId="42FE3A16"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 xml:space="preserve">افيتش مليكا ، (2000م)، اتجاهات الحث اللساني، ترجمة : الدكتور سعد عبدالعزيز مصلوح و وفاء كامل فاير ، ط2المجلس الاعلي للثقافة </w:t>
      </w:r>
    </w:p>
    <w:p w14:paraId="2E074758"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بدوح ، حسن (2012م) ، المحاورة : مقاربة تداولية ،ط1 ، الاردن : عالم عالم كتب الحديث للنشر والتوزيع</w:t>
      </w:r>
    </w:p>
    <w:p w14:paraId="6848BD47"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بلعيد ، صالح (2003م) ، دروس في اللسانيات التطبيقيه ، الجزائر : دار هومه</w:t>
      </w:r>
    </w:p>
    <w:p w14:paraId="4992437B"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بوعسيلة، الشيماء(2021) ، تلقي الشعرية العربية في كتاب الشعرية لادونيس ،</w:t>
      </w:r>
      <w:r w:rsidRPr="006B5CA3">
        <w:rPr>
          <w:rFonts w:ascii="IRLotus" w:hAnsi="IRLotus" w:cs="IRLotus"/>
          <w:sz w:val="24"/>
          <w:szCs w:val="24"/>
        </w:rPr>
        <w:t xml:space="preserve"> </w:t>
      </w:r>
      <w:r w:rsidRPr="006B5CA3">
        <w:rPr>
          <w:rFonts w:ascii="IRLotus" w:hAnsi="IRLotus" w:cs="IRLotus"/>
          <w:sz w:val="24"/>
          <w:szCs w:val="24"/>
          <w:rtl/>
        </w:rPr>
        <w:t xml:space="preserve"> مكملة لنيل شهادة الماستر في الادب العربي، جامعة محمد بن صديق بن يحي</w:t>
      </w:r>
    </w:p>
    <w:p w14:paraId="0B3394BD"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 xml:space="preserve">بوقرة، نعمان (۲۰۰۳م)، المدارس اللسانية المعاصرة، ط1، بيروت: دار الكتاب الجديد المتحدة. </w:t>
      </w:r>
    </w:p>
    <w:p w14:paraId="54DDBBF9"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جاكبسون ، رومان ومورس هاله (2008م) ، اساسيات اللغة ، ترجمه سعيد الغانمی ، ط 1 ، بيروت : المركز الثقافي العربی</w:t>
      </w:r>
    </w:p>
    <w:p w14:paraId="59812AD4"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 xml:space="preserve">جاكبسون، رومان (۱۹۸۸م)، قضايا الشعرية، ترجمة: محمد الوالي ومبارك حنون، ط 1 ، المغرب دار توبقال للنشر، الدار البيضاء. </w:t>
      </w:r>
    </w:p>
    <w:p w14:paraId="4B54EC05"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lastRenderedPageBreak/>
        <w:t xml:space="preserve">حساني، أحمد (۲۰۱۳م) مباحث في اللسانيات، ط ٦ ، دبي: منشورات كلية الدراسات الإسلامية والعربية. </w:t>
      </w:r>
    </w:p>
    <w:p w14:paraId="13EF4FF7"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حمداوي، جميل ،(2008م) ، اللغة والتواصل التربوي والثقافي : مقاربة نفسية وتربوية ، ط1، المغرب، دارتوبقال للنشر، الدار البيًضاء</w:t>
      </w:r>
    </w:p>
    <w:p w14:paraId="5EDB6988"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 xml:space="preserve">خريف صفاء (2017م)، وظائف الخطاب في نماذج مختاره من ديوان الامام علي (ع) – كرم الله وجهه ،  مكملة لنيل شهادة الماستر ، جامعة سوق اهراس </w:t>
      </w:r>
    </w:p>
    <w:p w14:paraId="226C6618"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خليفة سلمان ، طلال (2012م) ، مستويات السرد الوصفي القرآنی :دراسة اسلوبية ، ط1، بغداد: موسسة الرافد للمطبوعات</w:t>
      </w:r>
    </w:p>
    <w:p w14:paraId="33955879"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زكريا ، ميشال(1985م) ، الألسنية علم اللغة والحديث ، ط2 ، بيروت : الموسسه الجامعة للدراسات والنشر والتوزيع</w:t>
      </w:r>
    </w:p>
    <w:p w14:paraId="036FE4D0"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الشرقاوي ، عبدالرحمن (1972م) ، مسرحية الحسين ثائراً ، قاهرة : موسسة روز اليوسف</w:t>
      </w:r>
    </w:p>
    <w:p w14:paraId="76A9C4A5" w14:textId="77777777" w:rsidR="006B5CA3" w:rsidRPr="006B5CA3" w:rsidRDefault="006B5CA3" w:rsidP="006B5CA3">
      <w:pPr>
        <w:spacing w:line="240" w:lineRule="auto"/>
        <w:ind w:left="360"/>
        <w:jc w:val="both"/>
        <w:rPr>
          <w:rFonts w:ascii="IRLotus" w:hAnsi="IRLotus" w:cs="IRLotus"/>
          <w:sz w:val="24"/>
          <w:szCs w:val="24"/>
          <w:rtl/>
        </w:rPr>
      </w:pPr>
      <w:r w:rsidRPr="006B5CA3">
        <w:rPr>
          <w:rFonts w:ascii="IRLotus" w:hAnsi="IRLotus" w:cs="IRLotus"/>
          <w:sz w:val="24"/>
          <w:szCs w:val="24"/>
          <w:rtl/>
        </w:rPr>
        <w:t>المرابط ، عبدالواحد (2010م) ،السيمياء العامة وسيمياء الادب ، ط1، بيروت : دار العربيه للعلوم.</w:t>
      </w:r>
    </w:p>
    <w:p w14:paraId="69E9D9E9" w14:textId="77777777" w:rsidR="006B5CA3" w:rsidRPr="006B5CA3" w:rsidRDefault="006B5CA3" w:rsidP="006B5CA3">
      <w:pPr>
        <w:spacing w:line="240" w:lineRule="auto"/>
        <w:ind w:left="360"/>
        <w:jc w:val="both"/>
        <w:rPr>
          <w:rFonts w:ascii="IRLotus" w:hAnsi="IRLotus" w:cs="IRLotus"/>
          <w:sz w:val="24"/>
          <w:szCs w:val="24"/>
        </w:rPr>
      </w:pPr>
      <w:r w:rsidRPr="006B5CA3">
        <w:rPr>
          <w:rFonts w:ascii="IRLotus" w:hAnsi="IRLotus" w:cs="IRLotus"/>
          <w:sz w:val="24"/>
          <w:szCs w:val="24"/>
          <w:rtl/>
        </w:rPr>
        <w:t xml:space="preserve">منقور، عبد الجليل (۲۰۰۱م)، علم الدلالة: أصوله ومباحثه في التراث العربي، دمشق: من منشورات التحاد الكتاب العرب. </w:t>
      </w:r>
    </w:p>
    <w:p w14:paraId="4B59B61B" w14:textId="77777777" w:rsidR="006B5CA3" w:rsidRPr="00E1661F" w:rsidRDefault="006B5CA3" w:rsidP="006B5CA3">
      <w:pPr>
        <w:spacing w:line="240" w:lineRule="auto"/>
        <w:ind w:left="360"/>
        <w:jc w:val="both"/>
        <w:rPr>
          <w:rFonts w:ascii="IRLotus" w:hAnsi="IRLotus" w:cs="IRLotus"/>
          <w:sz w:val="26"/>
          <w:szCs w:val="26"/>
          <w:rtl/>
        </w:rPr>
      </w:pPr>
    </w:p>
    <w:p w14:paraId="4BAC0A51" w14:textId="77777777" w:rsidR="006B5CA3" w:rsidRPr="006B5CA3" w:rsidRDefault="00CE31A5" w:rsidP="006B5CA3">
      <w:pPr>
        <w:bidi w:val="0"/>
        <w:spacing w:line="240" w:lineRule="auto"/>
        <w:ind w:left="360"/>
        <w:jc w:val="both"/>
        <w:rPr>
          <w:rFonts w:ascii="IRLotus" w:hAnsi="IRLotus" w:cs="IRLotus"/>
          <w:sz w:val="24"/>
          <w:szCs w:val="24"/>
        </w:rPr>
      </w:pPr>
      <w:r>
        <w:rPr>
          <w:rFonts w:ascii="IRLotus" w:hAnsi="IRLotus" w:cs="IRLotus"/>
          <w:sz w:val="24"/>
          <w:szCs w:val="24"/>
        </w:rPr>
        <w:t>References</w:t>
      </w:r>
    </w:p>
    <w:p w14:paraId="22149D78"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Abu Al-ʿAdous, Youssef. (</w:t>
      </w:r>
      <w:r w:rsidRPr="006B5CA3">
        <w:rPr>
          <w:rFonts w:ascii="IRLotus" w:hAnsi="IRLotus" w:cs="IRLotus"/>
          <w:sz w:val="24"/>
          <w:szCs w:val="24"/>
          <w:rtl/>
        </w:rPr>
        <w:t>1997</w:t>
      </w:r>
      <w:r w:rsidRPr="006B5CA3">
        <w:rPr>
          <w:rFonts w:ascii="IRLotus" w:hAnsi="IRLotus" w:cs="IRLotus"/>
          <w:sz w:val="24"/>
          <w:szCs w:val="24"/>
        </w:rPr>
        <w:t>). Metaphor in Modern Arabic Criticism: Epistemological and Aesthetic Dimensions (</w:t>
      </w:r>
      <w:r w:rsidRPr="006B5CA3">
        <w:rPr>
          <w:rFonts w:ascii="IRLotus" w:hAnsi="IRLotus" w:cs="IRLotus"/>
          <w:sz w:val="24"/>
          <w:szCs w:val="24"/>
          <w:rtl/>
        </w:rPr>
        <w:t>1</w:t>
      </w:r>
      <w:r w:rsidRPr="006B5CA3">
        <w:rPr>
          <w:rFonts w:ascii="IRLotus" w:hAnsi="IRLotus" w:cs="IRLotus"/>
          <w:sz w:val="24"/>
          <w:szCs w:val="24"/>
        </w:rPr>
        <w:t>st ed.). Amman, Jordan: Al-Ahliyyah Publishing and Distribution.</w:t>
      </w:r>
    </w:p>
    <w:p w14:paraId="0BE9C87B"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Avitch, Milica. (</w:t>
      </w:r>
      <w:r w:rsidRPr="006B5CA3">
        <w:rPr>
          <w:rFonts w:ascii="IRLotus" w:hAnsi="IRLotus" w:cs="IRLotus"/>
          <w:sz w:val="24"/>
          <w:szCs w:val="24"/>
          <w:rtl/>
        </w:rPr>
        <w:t>2000</w:t>
      </w:r>
      <w:r w:rsidRPr="006B5CA3">
        <w:rPr>
          <w:rFonts w:ascii="IRLotus" w:hAnsi="IRLotus" w:cs="IRLotus"/>
          <w:sz w:val="24"/>
          <w:szCs w:val="24"/>
        </w:rPr>
        <w:t xml:space="preserve">). Trends in Linguistic Research (Trans. Saad Abdulaziz Maslouh &amp; Wafaa Kamel Fayir). </w:t>
      </w:r>
      <w:r w:rsidRPr="006B5CA3">
        <w:rPr>
          <w:rFonts w:ascii="IRLotus" w:hAnsi="IRLotus" w:cs="IRLotus"/>
          <w:sz w:val="24"/>
          <w:szCs w:val="24"/>
          <w:rtl/>
        </w:rPr>
        <w:t>2</w:t>
      </w:r>
      <w:r w:rsidRPr="006B5CA3">
        <w:rPr>
          <w:rFonts w:ascii="IRLotus" w:hAnsi="IRLotus" w:cs="IRLotus"/>
          <w:sz w:val="24"/>
          <w:szCs w:val="24"/>
        </w:rPr>
        <w:t>nd ed. Cairo: Supreme Council of Culture.</w:t>
      </w:r>
    </w:p>
    <w:p w14:paraId="22BCDFE4"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Baddouh, Hassan. (</w:t>
      </w:r>
      <w:r w:rsidRPr="006B5CA3">
        <w:rPr>
          <w:rFonts w:ascii="IRLotus" w:hAnsi="IRLotus" w:cs="IRLotus"/>
          <w:sz w:val="24"/>
          <w:szCs w:val="24"/>
          <w:rtl/>
        </w:rPr>
        <w:t>2012</w:t>
      </w:r>
      <w:r w:rsidRPr="006B5CA3">
        <w:rPr>
          <w:rFonts w:ascii="IRLotus" w:hAnsi="IRLotus" w:cs="IRLotus"/>
          <w:sz w:val="24"/>
          <w:szCs w:val="24"/>
        </w:rPr>
        <w:t>). Dialogue: A Pragmatic Approach (</w:t>
      </w:r>
      <w:r w:rsidRPr="006B5CA3">
        <w:rPr>
          <w:rFonts w:ascii="IRLotus" w:hAnsi="IRLotus" w:cs="IRLotus"/>
          <w:sz w:val="24"/>
          <w:szCs w:val="24"/>
          <w:rtl/>
        </w:rPr>
        <w:t>1</w:t>
      </w:r>
      <w:r w:rsidRPr="006B5CA3">
        <w:rPr>
          <w:rFonts w:ascii="IRLotus" w:hAnsi="IRLotus" w:cs="IRLotus"/>
          <w:sz w:val="24"/>
          <w:szCs w:val="24"/>
        </w:rPr>
        <w:t>st ed.). Amman, Jordan: Alam Kotob Al-Hadith Publishing and Distribution.</w:t>
      </w:r>
    </w:p>
    <w:p w14:paraId="42E5F310"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Belaid, Saleh. (</w:t>
      </w:r>
      <w:r w:rsidRPr="006B5CA3">
        <w:rPr>
          <w:rFonts w:ascii="IRLotus" w:hAnsi="IRLotus" w:cs="IRLotus"/>
          <w:sz w:val="24"/>
          <w:szCs w:val="24"/>
          <w:rtl/>
        </w:rPr>
        <w:t>2003</w:t>
      </w:r>
      <w:r w:rsidRPr="006B5CA3">
        <w:rPr>
          <w:rFonts w:ascii="IRLotus" w:hAnsi="IRLotus" w:cs="IRLotus"/>
          <w:sz w:val="24"/>
          <w:szCs w:val="24"/>
        </w:rPr>
        <w:t>). Lessons in Applied Linguistics. Algeria: Houma Publishing House.</w:t>
      </w:r>
    </w:p>
    <w:p w14:paraId="0AAA805C"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lastRenderedPageBreak/>
        <w:t>Bouassila, Chaimaa. (</w:t>
      </w:r>
      <w:r w:rsidRPr="006B5CA3">
        <w:rPr>
          <w:rFonts w:ascii="IRLotus" w:hAnsi="IRLotus" w:cs="IRLotus"/>
          <w:sz w:val="24"/>
          <w:szCs w:val="24"/>
          <w:rtl/>
        </w:rPr>
        <w:t>2021</w:t>
      </w:r>
      <w:r w:rsidRPr="006B5CA3">
        <w:rPr>
          <w:rFonts w:ascii="IRLotus" w:hAnsi="IRLotus" w:cs="IRLotus"/>
          <w:sz w:val="24"/>
          <w:szCs w:val="24"/>
        </w:rPr>
        <w:t>). The Reception of Arabic Poetics in Adonis’s Book “Poetics”. Master’s Thesis, Mohamed Ben Seddik Ben Yahia University.</w:t>
      </w:r>
    </w:p>
    <w:p w14:paraId="4A0B1134"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Bouguera, Nouman. (</w:t>
      </w:r>
      <w:r w:rsidRPr="006B5CA3">
        <w:rPr>
          <w:rFonts w:ascii="IRLotus" w:hAnsi="IRLotus" w:cs="IRLotus"/>
          <w:sz w:val="24"/>
          <w:szCs w:val="24"/>
          <w:rtl/>
        </w:rPr>
        <w:t>2003</w:t>
      </w:r>
      <w:r w:rsidRPr="006B5CA3">
        <w:rPr>
          <w:rFonts w:ascii="IRLotus" w:hAnsi="IRLotus" w:cs="IRLotus"/>
          <w:sz w:val="24"/>
          <w:szCs w:val="24"/>
        </w:rPr>
        <w:t>). Contemporary Linguistic Schools (</w:t>
      </w:r>
      <w:r w:rsidRPr="006B5CA3">
        <w:rPr>
          <w:rFonts w:ascii="IRLotus" w:hAnsi="IRLotus" w:cs="IRLotus"/>
          <w:sz w:val="24"/>
          <w:szCs w:val="24"/>
          <w:rtl/>
        </w:rPr>
        <w:t>1</w:t>
      </w:r>
      <w:r w:rsidRPr="006B5CA3">
        <w:rPr>
          <w:rFonts w:ascii="IRLotus" w:hAnsi="IRLotus" w:cs="IRLotus"/>
          <w:sz w:val="24"/>
          <w:szCs w:val="24"/>
        </w:rPr>
        <w:t>st ed.). Beirut: Dar Al-Kitab Al-Jadeed Al-Muttahida.</w:t>
      </w:r>
    </w:p>
    <w:p w14:paraId="259FD22E"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Jakobson, Roman &amp; Morris Halle. (</w:t>
      </w:r>
      <w:r w:rsidRPr="006B5CA3">
        <w:rPr>
          <w:rFonts w:ascii="IRLotus" w:hAnsi="IRLotus" w:cs="IRLotus"/>
          <w:sz w:val="24"/>
          <w:szCs w:val="24"/>
          <w:rtl/>
        </w:rPr>
        <w:t>2008</w:t>
      </w:r>
      <w:r w:rsidRPr="006B5CA3">
        <w:rPr>
          <w:rFonts w:ascii="IRLotus" w:hAnsi="IRLotus" w:cs="IRLotus"/>
          <w:sz w:val="24"/>
          <w:szCs w:val="24"/>
        </w:rPr>
        <w:t xml:space="preserve">). Fundamentals of Language. (Trans. Saeed Al-Ghanimi). </w:t>
      </w:r>
      <w:r w:rsidRPr="006B5CA3">
        <w:rPr>
          <w:rFonts w:ascii="IRLotus" w:hAnsi="IRLotus" w:cs="IRLotus"/>
          <w:sz w:val="24"/>
          <w:szCs w:val="24"/>
          <w:rtl/>
        </w:rPr>
        <w:t>1</w:t>
      </w:r>
      <w:r w:rsidRPr="006B5CA3">
        <w:rPr>
          <w:rFonts w:ascii="IRLotus" w:hAnsi="IRLotus" w:cs="IRLotus"/>
          <w:sz w:val="24"/>
          <w:szCs w:val="24"/>
        </w:rPr>
        <w:t>st ed. Beirut: Arab Cultural Center.</w:t>
      </w:r>
    </w:p>
    <w:p w14:paraId="7F4F03D3"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Jakobson, Roman. (</w:t>
      </w:r>
      <w:r w:rsidRPr="006B5CA3">
        <w:rPr>
          <w:rFonts w:ascii="IRLotus" w:hAnsi="IRLotus" w:cs="IRLotus"/>
          <w:sz w:val="24"/>
          <w:szCs w:val="24"/>
          <w:rtl/>
        </w:rPr>
        <w:t>1988</w:t>
      </w:r>
      <w:r w:rsidRPr="006B5CA3">
        <w:rPr>
          <w:rFonts w:ascii="IRLotus" w:hAnsi="IRLotus" w:cs="IRLotus"/>
          <w:sz w:val="24"/>
          <w:szCs w:val="24"/>
        </w:rPr>
        <w:t xml:space="preserve">). Poetic Problems (Trans. Mohammed Al-Wali &amp; Mubarak Hannoun). </w:t>
      </w:r>
      <w:r w:rsidRPr="006B5CA3">
        <w:rPr>
          <w:rFonts w:ascii="IRLotus" w:hAnsi="IRLotus" w:cs="IRLotus"/>
          <w:sz w:val="24"/>
          <w:szCs w:val="24"/>
          <w:rtl/>
        </w:rPr>
        <w:t>1</w:t>
      </w:r>
      <w:r w:rsidRPr="006B5CA3">
        <w:rPr>
          <w:rFonts w:ascii="IRLotus" w:hAnsi="IRLotus" w:cs="IRLotus"/>
          <w:sz w:val="24"/>
          <w:szCs w:val="24"/>
        </w:rPr>
        <w:t>st ed. Casablanca, Morocco: Toubkal Publishing House.</w:t>
      </w:r>
    </w:p>
    <w:p w14:paraId="1552C30C"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Hassani, Ahmed. (</w:t>
      </w:r>
      <w:r w:rsidRPr="006B5CA3">
        <w:rPr>
          <w:rFonts w:ascii="IRLotus" w:hAnsi="IRLotus" w:cs="IRLotus"/>
          <w:sz w:val="24"/>
          <w:szCs w:val="24"/>
          <w:rtl/>
        </w:rPr>
        <w:t>2013</w:t>
      </w:r>
      <w:r w:rsidRPr="006B5CA3">
        <w:rPr>
          <w:rFonts w:ascii="IRLotus" w:hAnsi="IRLotus" w:cs="IRLotus"/>
          <w:sz w:val="24"/>
          <w:szCs w:val="24"/>
        </w:rPr>
        <w:t>). Studies in Linguistics (</w:t>
      </w:r>
      <w:r w:rsidRPr="006B5CA3">
        <w:rPr>
          <w:rFonts w:ascii="IRLotus" w:hAnsi="IRLotus" w:cs="IRLotus"/>
          <w:sz w:val="24"/>
          <w:szCs w:val="24"/>
          <w:rtl/>
        </w:rPr>
        <w:t>6</w:t>
      </w:r>
      <w:r w:rsidRPr="006B5CA3">
        <w:rPr>
          <w:rFonts w:ascii="IRLotus" w:hAnsi="IRLotus" w:cs="IRLotus"/>
          <w:sz w:val="24"/>
          <w:szCs w:val="24"/>
        </w:rPr>
        <w:t>th ed.). Dubai: Publications of the College of Islamic and Arabic Studies.</w:t>
      </w:r>
    </w:p>
    <w:p w14:paraId="23114D8C"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Hamdaoui, Jamil. (</w:t>
      </w:r>
      <w:r w:rsidRPr="006B5CA3">
        <w:rPr>
          <w:rFonts w:ascii="IRLotus" w:hAnsi="IRLotus" w:cs="IRLotus"/>
          <w:sz w:val="24"/>
          <w:szCs w:val="24"/>
          <w:rtl/>
        </w:rPr>
        <w:t>2008</w:t>
      </w:r>
      <w:r w:rsidRPr="006B5CA3">
        <w:rPr>
          <w:rFonts w:ascii="IRLotus" w:hAnsi="IRLotus" w:cs="IRLotus"/>
          <w:sz w:val="24"/>
          <w:szCs w:val="24"/>
        </w:rPr>
        <w:t>). Language and Educational-Cultural Communication: A Psychological and Pedagogical Approach (</w:t>
      </w:r>
      <w:r w:rsidRPr="006B5CA3">
        <w:rPr>
          <w:rFonts w:ascii="IRLotus" w:hAnsi="IRLotus" w:cs="IRLotus"/>
          <w:sz w:val="24"/>
          <w:szCs w:val="24"/>
          <w:rtl/>
        </w:rPr>
        <w:t>1</w:t>
      </w:r>
      <w:r w:rsidRPr="006B5CA3">
        <w:rPr>
          <w:rFonts w:ascii="IRLotus" w:hAnsi="IRLotus" w:cs="IRLotus"/>
          <w:sz w:val="24"/>
          <w:szCs w:val="24"/>
        </w:rPr>
        <w:t>st ed.). Morocco: Toubkal Publishing House.</w:t>
      </w:r>
    </w:p>
    <w:p w14:paraId="69D8B173"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Khrief, Safaa. (</w:t>
      </w:r>
      <w:r w:rsidRPr="006B5CA3">
        <w:rPr>
          <w:rFonts w:ascii="IRLotus" w:hAnsi="IRLotus" w:cs="IRLotus"/>
          <w:sz w:val="24"/>
          <w:szCs w:val="24"/>
          <w:rtl/>
        </w:rPr>
        <w:t>2017</w:t>
      </w:r>
      <w:r w:rsidRPr="006B5CA3">
        <w:rPr>
          <w:rFonts w:ascii="IRLotus" w:hAnsi="IRLotus" w:cs="IRLotus"/>
          <w:sz w:val="24"/>
          <w:szCs w:val="24"/>
        </w:rPr>
        <w:t>). Functions of Discourse in Selected Texts from the Diwan of Imam Ali  Master’s Thesis, Souk Ahras University.</w:t>
      </w:r>
    </w:p>
    <w:p w14:paraId="391C6E75"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Khalifa Salman, Talal. (</w:t>
      </w:r>
      <w:r w:rsidRPr="006B5CA3">
        <w:rPr>
          <w:rFonts w:ascii="IRLotus" w:hAnsi="IRLotus" w:cs="IRLotus"/>
          <w:sz w:val="24"/>
          <w:szCs w:val="24"/>
          <w:rtl/>
        </w:rPr>
        <w:t>2012</w:t>
      </w:r>
      <w:r w:rsidRPr="006B5CA3">
        <w:rPr>
          <w:rFonts w:ascii="IRLotus" w:hAnsi="IRLotus" w:cs="IRLotus"/>
          <w:sz w:val="24"/>
          <w:szCs w:val="24"/>
        </w:rPr>
        <w:t>). Levels of Qur’anic Descriptive Narrative: A Stylistic Study (</w:t>
      </w:r>
      <w:r w:rsidRPr="006B5CA3">
        <w:rPr>
          <w:rFonts w:ascii="IRLotus" w:hAnsi="IRLotus" w:cs="IRLotus"/>
          <w:sz w:val="24"/>
          <w:szCs w:val="24"/>
          <w:rtl/>
        </w:rPr>
        <w:t>1</w:t>
      </w:r>
      <w:r w:rsidRPr="006B5CA3">
        <w:rPr>
          <w:rFonts w:ascii="IRLotus" w:hAnsi="IRLotus" w:cs="IRLotus"/>
          <w:sz w:val="24"/>
          <w:szCs w:val="24"/>
        </w:rPr>
        <w:t>st ed.). Baghdad: Al-Rafid Publications.</w:t>
      </w:r>
    </w:p>
    <w:p w14:paraId="12C644A4"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Zakaria, Michel. (</w:t>
      </w:r>
      <w:r w:rsidRPr="006B5CA3">
        <w:rPr>
          <w:rFonts w:ascii="IRLotus" w:hAnsi="IRLotus" w:cs="IRLotus"/>
          <w:sz w:val="24"/>
          <w:szCs w:val="24"/>
          <w:rtl/>
        </w:rPr>
        <w:t>1985</w:t>
      </w:r>
      <w:r w:rsidRPr="006B5CA3">
        <w:rPr>
          <w:rFonts w:ascii="IRLotus" w:hAnsi="IRLotus" w:cs="IRLotus"/>
          <w:sz w:val="24"/>
          <w:szCs w:val="24"/>
        </w:rPr>
        <w:t>). Linguistics: The Science of Language and Speech (</w:t>
      </w:r>
      <w:r w:rsidRPr="006B5CA3">
        <w:rPr>
          <w:rFonts w:ascii="IRLotus" w:hAnsi="IRLotus" w:cs="IRLotus"/>
          <w:sz w:val="24"/>
          <w:szCs w:val="24"/>
          <w:rtl/>
        </w:rPr>
        <w:t>2</w:t>
      </w:r>
      <w:r w:rsidRPr="006B5CA3">
        <w:rPr>
          <w:rFonts w:ascii="IRLotus" w:hAnsi="IRLotus" w:cs="IRLotus"/>
          <w:sz w:val="24"/>
          <w:szCs w:val="24"/>
        </w:rPr>
        <w:t>nd ed.). Beirut: University Foundation for Studies, Publishing and Distribution.</w:t>
      </w:r>
    </w:p>
    <w:p w14:paraId="5B43FBA7"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Al-Sharqawi, Abdel Rahman. (</w:t>
      </w:r>
      <w:r w:rsidRPr="006B5CA3">
        <w:rPr>
          <w:rFonts w:ascii="IRLotus" w:hAnsi="IRLotus" w:cs="IRLotus"/>
          <w:sz w:val="24"/>
          <w:szCs w:val="24"/>
          <w:rtl/>
        </w:rPr>
        <w:t>1972</w:t>
      </w:r>
      <w:r w:rsidRPr="006B5CA3">
        <w:rPr>
          <w:rFonts w:ascii="IRLotus" w:hAnsi="IRLotus" w:cs="IRLotus"/>
          <w:sz w:val="24"/>
          <w:szCs w:val="24"/>
        </w:rPr>
        <w:t>). Al-Husayn Thaʾiran (Husayn Revolting). Cairo: Rose Al-Youssef Foundation.</w:t>
      </w:r>
    </w:p>
    <w:p w14:paraId="5A1A18B9" w14:textId="77777777" w:rsidR="006B5CA3" w:rsidRP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Al-Murabit, Abdelwahid. (</w:t>
      </w:r>
      <w:r w:rsidRPr="006B5CA3">
        <w:rPr>
          <w:rFonts w:ascii="IRLotus" w:hAnsi="IRLotus" w:cs="IRLotus"/>
          <w:sz w:val="24"/>
          <w:szCs w:val="24"/>
          <w:rtl/>
        </w:rPr>
        <w:t>2010</w:t>
      </w:r>
      <w:r w:rsidRPr="006B5CA3">
        <w:rPr>
          <w:rFonts w:ascii="IRLotus" w:hAnsi="IRLotus" w:cs="IRLotus"/>
          <w:sz w:val="24"/>
          <w:szCs w:val="24"/>
        </w:rPr>
        <w:t>). General Semiotics and Literary Semiotics (</w:t>
      </w:r>
      <w:r w:rsidRPr="006B5CA3">
        <w:rPr>
          <w:rFonts w:ascii="IRLotus" w:hAnsi="IRLotus" w:cs="IRLotus"/>
          <w:sz w:val="24"/>
          <w:szCs w:val="24"/>
          <w:rtl/>
        </w:rPr>
        <w:t>1</w:t>
      </w:r>
      <w:r w:rsidRPr="006B5CA3">
        <w:rPr>
          <w:rFonts w:ascii="IRLotus" w:hAnsi="IRLotus" w:cs="IRLotus"/>
          <w:sz w:val="24"/>
          <w:szCs w:val="24"/>
        </w:rPr>
        <w:t>st ed.). Beirut: Arab Scientific Publishers.</w:t>
      </w:r>
    </w:p>
    <w:p w14:paraId="36334FFE" w14:textId="77777777" w:rsidR="006B5CA3" w:rsidRDefault="006B5CA3" w:rsidP="006B5CA3">
      <w:pPr>
        <w:bidi w:val="0"/>
        <w:spacing w:line="240" w:lineRule="auto"/>
        <w:ind w:left="360"/>
        <w:jc w:val="both"/>
        <w:rPr>
          <w:rFonts w:ascii="IRLotus" w:hAnsi="IRLotus" w:cs="IRLotus"/>
          <w:sz w:val="24"/>
          <w:szCs w:val="24"/>
        </w:rPr>
      </w:pPr>
      <w:r w:rsidRPr="006B5CA3">
        <w:rPr>
          <w:rFonts w:ascii="IRLotus" w:hAnsi="IRLotus" w:cs="IRLotus"/>
          <w:sz w:val="24"/>
          <w:szCs w:val="24"/>
        </w:rPr>
        <w:t>Mankour, Abdel Jalil. (</w:t>
      </w:r>
      <w:r w:rsidRPr="006B5CA3">
        <w:rPr>
          <w:rFonts w:ascii="IRLotus" w:hAnsi="IRLotus" w:cs="IRLotus"/>
          <w:sz w:val="24"/>
          <w:szCs w:val="24"/>
          <w:rtl/>
        </w:rPr>
        <w:t>2001</w:t>
      </w:r>
      <w:r w:rsidRPr="006B5CA3">
        <w:rPr>
          <w:rFonts w:ascii="IRLotus" w:hAnsi="IRLotus" w:cs="IRLotus"/>
          <w:sz w:val="24"/>
          <w:szCs w:val="24"/>
        </w:rPr>
        <w:t>). Semantics: Its Origins and Topics in Arab Heritage. Damascus: Arab Writers Union Publications.</w:t>
      </w:r>
    </w:p>
    <w:p w14:paraId="2396C73D" w14:textId="77777777" w:rsidR="009A4A9A" w:rsidRDefault="009A4A9A" w:rsidP="009A4A9A">
      <w:pPr>
        <w:bidi w:val="0"/>
        <w:spacing w:line="240" w:lineRule="auto"/>
        <w:ind w:left="360"/>
        <w:jc w:val="both"/>
        <w:rPr>
          <w:rFonts w:ascii="IRLotus" w:hAnsi="IRLotus" w:cs="IRLotus"/>
          <w:sz w:val="24"/>
          <w:szCs w:val="24"/>
        </w:rPr>
      </w:pPr>
    </w:p>
    <w:p w14:paraId="6DB59D14" w14:textId="77777777" w:rsidR="009A4A9A" w:rsidRDefault="009A4A9A" w:rsidP="009A4A9A">
      <w:pPr>
        <w:bidi w:val="0"/>
        <w:spacing w:line="240" w:lineRule="auto"/>
        <w:ind w:left="360"/>
        <w:jc w:val="both"/>
        <w:rPr>
          <w:rFonts w:ascii="IRLotus" w:hAnsi="IRLotus" w:cs="IRLotus"/>
          <w:sz w:val="24"/>
          <w:szCs w:val="24"/>
        </w:rPr>
      </w:pPr>
    </w:p>
    <w:p w14:paraId="2AAB9C61" w14:textId="77777777" w:rsidR="009A4A9A" w:rsidRPr="006B5CA3" w:rsidRDefault="009A4A9A" w:rsidP="009A4A9A">
      <w:pPr>
        <w:bidi w:val="0"/>
        <w:spacing w:line="240" w:lineRule="auto"/>
        <w:ind w:left="360"/>
        <w:jc w:val="both"/>
        <w:rPr>
          <w:rFonts w:ascii="IRLotus" w:hAnsi="IRLotus" w:cs="IRLotus"/>
          <w:sz w:val="24"/>
          <w:szCs w:val="24"/>
          <w:rtl/>
        </w:rPr>
      </w:pPr>
    </w:p>
    <w:p w14:paraId="6990947E" w14:textId="77777777" w:rsidR="006B5CA3" w:rsidRPr="00B264FA" w:rsidRDefault="006B5CA3" w:rsidP="006B5CA3">
      <w:pPr>
        <w:spacing w:before="100" w:beforeAutospacing="1" w:after="100" w:afterAutospacing="1" w:line="240" w:lineRule="auto"/>
        <w:rPr>
          <w:rFonts w:ascii="IRLotus" w:eastAsia="Times New Roman" w:hAnsi="IRLotus" w:cs="IRLotus"/>
          <w:sz w:val="24"/>
          <w:szCs w:val="24"/>
        </w:rPr>
      </w:pPr>
      <w:r w:rsidRPr="00B264FA">
        <w:rPr>
          <w:rFonts w:ascii="IRLotus" w:eastAsia="Times New Roman" w:hAnsi="IRLotus" w:cs="IRLotus"/>
          <w:b/>
          <w:bCs/>
          <w:sz w:val="24"/>
          <w:szCs w:val="24"/>
          <w:rtl/>
        </w:rPr>
        <w:t>تحلیل کارکردهای زبانی در نمایشنامه «الحسین ثائرًا» اثر عبدالرحمن الشرقاوی بر اساس نظریه ارتباط رومان یاکوبسن</w:t>
      </w:r>
    </w:p>
    <w:p w14:paraId="6A9DA214" w14:textId="77777777" w:rsidR="006B5CA3" w:rsidRPr="009A4A9A" w:rsidRDefault="006B5CA3" w:rsidP="006B5CA3">
      <w:pPr>
        <w:spacing w:before="100" w:beforeAutospacing="1" w:after="100" w:afterAutospacing="1" w:line="240" w:lineRule="auto"/>
        <w:jc w:val="both"/>
        <w:outlineLvl w:val="2"/>
        <w:rPr>
          <w:rFonts w:ascii="IRLotus" w:eastAsia="Times New Roman" w:hAnsi="IRLotus" w:cs="IRLotus"/>
          <w:b/>
          <w:bCs/>
          <w:sz w:val="32"/>
          <w:szCs w:val="32"/>
        </w:rPr>
      </w:pPr>
      <w:r w:rsidRPr="009A4A9A">
        <w:rPr>
          <w:rFonts w:ascii="IRLotus" w:eastAsia="Times New Roman" w:hAnsi="IRLotus" w:cs="IRLotus"/>
          <w:b/>
          <w:bCs/>
          <w:sz w:val="32"/>
          <w:szCs w:val="32"/>
          <w:rtl/>
        </w:rPr>
        <w:t xml:space="preserve">چکیده </w:t>
      </w:r>
    </w:p>
    <w:p w14:paraId="3C5FC038" w14:textId="1B08CAAA" w:rsidR="006B5CA3" w:rsidRPr="00B264FA" w:rsidRDefault="006B5CA3" w:rsidP="006B5CA3">
      <w:pPr>
        <w:spacing w:before="100" w:beforeAutospacing="1" w:after="100" w:afterAutospacing="1" w:line="240" w:lineRule="auto"/>
        <w:jc w:val="both"/>
        <w:rPr>
          <w:rFonts w:ascii="IRLotus" w:eastAsia="Times New Roman" w:hAnsi="IRLotus" w:cs="IRLotus"/>
        </w:rPr>
      </w:pPr>
      <w:r w:rsidRPr="00B264FA">
        <w:rPr>
          <w:rFonts w:ascii="IRLotus" w:eastAsia="Times New Roman" w:hAnsi="IRLotus" w:cs="IRLotus"/>
          <w:rtl/>
        </w:rPr>
        <w:t xml:space="preserve">این پژوهش به تحلیل کارکردهای زبانی در نمایشنامه </w:t>
      </w:r>
      <w:r w:rsidRPr="00B264FA">
        <w:rPr>
          <w:rFonts w:ascii="IRLotus" w:eastAsia="Times New Roman" w:hAnsi="IRLotus" w:cs="IRLotus"/>
          <w:b/>
          <w:bCs/>
          <w:rtl/>
        </w:rPr>
        <w:t>"الحسین ثائرًا"</w:t>
      </w:r>
      <w:r w:rsidRPr="00B264FA">
        <w:rPr>
          <w:rFonts w:ascii="IRLotus" w:eastAsia="Times New Roman" w:hAnsi="IRLotus" w:cs="IRLotus"/>
        </w:rPr>
        <w:t xml:space="preserve"> </w:t>
      </w:r>
      <w:r w:rsidRPr="00B264FA">
        <w:rPr>
          <w:rFonts w:ascii="IRLotus" w:eastAsia="Times New Roman" w:hAnsi="IRLotus" w:cs="IRLotus"/>
          <w:rtl/>
        </w:rPr>
        <w:t>اثر عبدالرحمن الشرقاوی بر اساس نظریه ارتباط رومان یاکوبسن می‌پردازد؛ نظریه‌ای که چارچوبی ساخت‌گرایانه برای تبیین ابعاد ارتباطی و کارکردی زبان در گفتمان ادبی ارائه می‌دهد (مسئله). روش تحقیق، سبک‌شناسی کارکردی مبتنی بر تحلیل متنی است که در پرتو الگوی ارتباطی یاکوبسن، نمونه‌هایی از موقعیت‌های نمایشی گوناگون را بررسی می‌کند که بازتاب‌دهنده‌ی تقابل میان حق و باطل و ایمان و ستم‌اند (روش). نتایج نشان می‌دهد که الشرقاوی زبان را به</w:t>
      </w:r>
      <w:r w:rsidR="009A4A9A" w:rsidRPr="00B264FA">
        <w:rPr>
          <w:rFonts w:ascii="IRLotus" w:eastAsia="Times New Roman" w:hAnsi="IRLotus" w:cs="IRLotus"/>
        </w:rPr>
        <w:t xml:space="preserve"> </w:t>
      </w:r>
      <w:r w:rsidRPr="00B264FA">
        <w:rPr>
          <w:rFonts w:ascii="IRLotus" w:eastAsia="Times New Roman" w:hAnsi="IRLotus" w:cs="IRLotus"/>
          <w:rtl/>
        </w:rPr>
        <w:t>‌صورت نظامی ارتباطی و درهم</w:t>
      </w:r>
      <w:r w:rsidR="009A4A9A" w:rsidRPr="00B264FA">
        <w:rPr>
          <w:rFonts w:ascii="IRLotus" w:eastAsia="Times New Roman" w:hAnsi="IRLotus" w:cs="IRLotus"/>
        </w:rPr>
        <w:t xml:space="preserve"> </w:t>
      </w:r>
      <w:r w:rsidRPr="00B264FA">
        <w:rPr>
          <w:rFonts w:ascii="IRLotus" w:eastAsia="Times New Roman" w:hAnsi="IRLotus" w:cs="IRLotus"/>
          <w:rtl/>
        </w:rPr>
        <w:t>‌تنیده به کار گرفته است؛ به‌گونه‌ای که کارکردهای زبانی در خدمت چشم‌انداز فکری اثر با یکدیگر تداخل و هم‌افزایی دارند. کارکرد عاطفي احساس انقلابی را منتقل می‌کند، کارکرد ارجاعی حقایق تاریخی و فکری را بازمی‌نماید، و کارکرد شعری به گفتار نمایشی بُعدی زیبایی‌شناختی می‌بخشد؛ بدین‌سان، وحدتی هنری و ارتباطی میان خالق اثر و مخاطب شکل می‌گیرد (یافته‌ها)</w:t>
      </w:r>
      <w:r w:rsidRPr="00B264FA">
        <w:rPr>
          <w:rFonts w:ascii="IRLotus" w:eastAsia="Times New Roman" w:hAnsi="IRLotus" w:cs="IRLotus"/>
        </w:rPr>
        <w:t>.</w:t>
      </w:r>
    </w:p>
    <w:p w14:paraId="405DEDD9" w14:textId="0E4F718A" w:rsidR="006B5CA3" w:rsidRPr="00B264FA" w:rsidRDefault="006B5CA3" w:rsidP="006B5CA3">
      <w:pPr>
        <w:spacing w:before="100" w:beforeAutospacing="1" w:after="100" w:afterAutospacing="1" w:line="240" w:lineRule="auto"/>
        <w:jc w:val="both"/>
        <w:rPr>
          <w:rFonts w:ascii="IRLotus" w:eastAsia="Times New Roman" w:hAnsi="IRLotus" w:cs="IRLotus"/>
        </w:rPr>
      </w:pPr>
      <w:r w:rsidRPr="00B264FA">
        <w:rPr>
          <w:rFonts w:ascii="IRLotus" w:eastAsia="Times New Roman" w:hAnsi="IRLotus" w:cs="IRLotus"/>
          <w:b/>
          <w:bCs/>
          <w:rtl/>
        </w:rPr>
        <w:t>واژگان کلیدی</w:t>
      </w:r>
      <w:r w:rsidRPr="00B264FA">
        <w:rPr>
          <w:rFonts w:ascii="IRLotus" w:eastAsia="Times New Roman" w:hAnsi="IRLotus" w:cs="IRLotus"/>
          <w:b/>
          <w:bCs/>
        </w:rPr>
        <w:t>:</w:t>
      </w:r>
      <w:r w:rsidRPr="00B264FA">
        <w:rPr>
          <w:rFonts w:ascii="IRLotus" w:eastAsia="Times New Roman" w:hAnsi="IRLotus" w:cs="IRLotus"/>
        </w:rPr>
        <w:t xml:space="preserve"> </w:t>
      </w:r>
      <w:r w:rsidRPr="00B264FA">
        <w:rPr>
          <w:rFonts w:ascii="IRLotus" w:eastAsia="Times New Roman" w:hAnsi="IRLotus" w:cs="IRLotus"/>
          <w:rtl/>
        </w:rPr>
        <w:t>رومان یاکوبسن، کا</w:t>
      </w:r>
      <w:r w:rsidR="00385529" w:rsidRPr="00B264FA">
        <w:rPr>
          <w:rFonts w:ascii="IRLotus" w:eastAsia="Times New Roman" w:hAnsi="IRLotus" w:cs="IRLotus"/>
          <w:rtl/>
        </w:rPr>
        <w:t xml:space="preserve">رکردهای زبانی، ارتباط، </w:t>
      </w:r>
      <w:r w:rsidR="00385529" w:rsidRPr="00B264FA">
        <w:rPr>
          <w:rFonts w:ascii="IRLotus" w:eastAsia="Times New Roman" w:hAnsi="IRLotus" w:cs="IRLotus" w:hint="cs"/>
          <w:rtl/>
        </w:rPr>
        <w:t>نمایشنامه</w:t>
      </w:r>
      <w:r w:rsidRPr="00B264FA">
        <w:rPr>
          <w:rFonts w:ascii="IRLotus" w:eastAsia="Times New Roman" w:hAnsi="IRLotus" w:cs="IRLotus"/>
          <w:rtl/>
        </w:rPr>
        <w:t xml:space="preserve">، عبدالرحمن الشرقاوی، </w:t>
      </w:r>
      <w:r w:rsidRPr="00B264FA">
        <w:rPr>
          <w:rFonts w:ascii="IRLotus" w:eastAsia="Times New Roman" w:hAnsi="IRLotus" w:cs="IRLotus"/>
          <w:i/>
          <w:iCs/>
          <w:rtl/>
        </w:rPr>
        <w:t>الحسین ثائرًا</w:t>
      </w:r>
      <w:r w:rsidRPr="00B264FA">
        <w:rPr>
          <w:rFonts w:ascii="IRLotus" w:eastAsia="Times New Roman" w:hAnsi="IRLotus" w:cs="IRLotus"/>
        </w:rPr>
        <w:t>.</w:t>
      </w:r>
    </w:p>
    <w:p w14:paraId="6E7A7EF0" w14:textId="77777777" w:rsidR="006B5CA3" w:rsidRPr="00E1661F" w:rsidRDefault="006B5CA3" w:rsidP="006B5CA3">
      <w:pPr>
        <w:spacing w:after="0" w:line="240" w:lineRule="auto"/>
        <w:jc w:val="both"/>
        <w:rPr>
          <w:rFonts w:ascii="IRLotus" w:hAnsi="IRLotus" w:cs="IRLotus"/>
          <w:sz w:val="26"/>
          <w:szCs w:val="26"/>
        </w:rPr>
      </w:pPr>
    </w:p>
    <w:p w14:paraId="6C64A69C" w14:textId="77777777" w:rsidR="006B5CA3" w:rsidRPr="00E1661F" w:rsidRDefault="006B5CA3" w:rsidP="006B5CA3">
      <w:pPr>
        <w:spacing w:after="0" w:line="240" w:lineRule="auto"/>
        <w:jc w:val="both"/>
        <w:rPr>
          <w:rFonts w:ascii="IRLotus" w:hAnsi="IRLotus" w:cs="IRLotus"/>
          <w:sz w:val="26"/>
          <w:szCs w:val="26"/>
        </w:rPr>
      </w:pPr>
    </w:p>
    <w:p w14:paraId="6C589E63" w14:textId="77777777" w:rsidR="006B5CA3" w:rsidRPr="00E1661F" w:rsidRDefault="006B5CA3" w:rsidP="006B5CA3">
      <w:pPr>
        <w:rPr>
          <w:rFonts w:ascii="IRLotus" w:hAnsi="IRLotus" w:cs="IRLotus"/>
          <w:sz w:val="26"/>
          <w:szCs w:val="26"/>
        </w:rPr>
      </w:pPr>
    </w:p>
    <w:p w14:paraId="1EC13593" w14:textId="77777777" w:rsidR="006B5CA3" w:rsidRPr="00E1661F" w:rsidRDefault="006B5CA3" w:rsidP="006B5CA3">
      <w:pPr>
        <w:spacing w:after="0" w:line="240" w:lineRule="auto"/>
        <w:jc w:val="both"/>
        <w:rPr>
          <w:rFonts w:ascii="IRLotus" w:eastAsia="Times New Roman" w:hAnsi="IRLotus" w:cs="IRLotus"/>
          <w:noProof w:val="0"/>
          <w:sz w:val="26"/>
          <w:szCs w:val="26"/>
          <w:lang w:bidi="ar-EG"/>
        </w:rPr>
      </w:pPr>
    </w:p>
    <w:p w14:paraId="75311ABF" w14:textId="77777777" w:rsidR="00D46A48" w:rsidRPr="006B5CA3" w:rsidRDefault="00D46A48"/>
    <w:sectPr w:rsidR="00D46A48" w:rsidRPr="006B5CA3" w:rsidSect="00A02EFB">
      <w:footnotePr>
        <w:numRestart w:val="eachPage"/>
      </w:footnotePr>
      <w:pgSz w:w="11906" w:h="16838" w:code="9"/>
      <w:pgMar w:top="2664" w:right="2549" w:bottom="2837" w:left="2549" w:header="2275" w:footer="72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78B6" w14:textId="77777777" w:rsidR="007A3246" w:rsidRDefault="007A3246">
      <w:pPr>
        <w:spacing w:after="0" w:line="240" w:lineRule="auto"/>
      </w:pPr>
      <w:r>
        <w:separator/>
      </w:r>
    </w:p>
  </w:endnote>
  <w:endnote w:type="continuationSeparator" w:id="0">
    <w:p w14:paraId="19F8F84C" w14:textId="77777777" w:rsidR="007A3246" w:rsidRDefault="007A3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0000" w:usb1="00000000" w:usb2="00000000" w:usb3="00000000" w:csb0="00000041" w:csb1="00000000"/>
  </w:font>
  <w:font w:name="YKMitra">
    <w:altName w:val="Courier New"/>
    <w:charset w:val="B2"/>
    <w:family w:val="auto"/>
    <w:pitch w:val="variable"/>
    <w:sig w:usb0="00002000" w:usb1="80000000" w:usb2="00000008" w:usb3="00000000" w:csb0="00000040" w:csb1="00000000"/>
  </w:font>
  <w:font w:name="(AH) Manal Light">
    <w:panose1 w:val="00000000000000000000"/>
    <w:charset w:val="00"/>
    <w:family w:val="auto"/>
    <w:pitch w:val="variable"/>
    <w:sig w:usb0="8000202F" w:usb1="90000008"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C0B4" w14:textId="77777777" w:rsidR="007A3246" w:rsidRDefault="007A3246">
      <w:pPr>
        <w:spacing w:after="0" w:line="240" w:lineRule="auto"/>
      </w:pPr>
      <w:r>
        <w:separator/>
      </w:r>
    </w:p>
  </w:footnote>
  <w:footnote w:type="continuationSeparator" w:id="0">
    <w:p w14:paraId="68FA79EA" w14:textId="77777777" w:rsidR="007A3246" w:rsidRDefault="007A3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74E"/>
    <w:multiLevelType w:val="hybridMultilevel"/>
    <w:tmpl w:val="0986AD98"/>
    <w:lvl w:ilvl="0" w:tplc="FD84479E">
      <w:start w:val="4"/>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3517E"/>
    <w:multiLevelType w:val="hybridMultilevel"/>
    <w:tmpl w:val="E70409A0"/>
    <w:lvl w:ilvl="0" w:tplc="0EAEA218">
      <w:start w:val="2"/>
      <w:numFmt w:val="bullet"/>
      <w:lvlText w:val="-"/>
      <w:lvlJc w:val="left"/>
      <w:pPr>
        <w:ind w:left="720" w:hanging="360"/>
      </w:pPr>
      <w:rPr>
        <w:rFonts w:ascii="Traditional Arabic" w:eastAsia="Traditional Arabic"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12E57"/>
    <w:multiLevelType w:val="hybridMultilevel"/>
    <w:tmpl w:val="3AD0B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46E28"/>
    <w:multiLevelType w:val="hybridMultilevel"/>
    <w:tmpl w:val="FFECA3B8"/>
    <w:lvl w:ilvl="0" w:tplc="8C50822A">
      <w:start w:val="1"/>
      <w:numFmt w:val="bullet"/>
      <w:lvlText w:val="-"/>
      <w:lvlJc w:val="left"/>
      <w:pPr>
        <w:ind w:left="720" w:hanging="360"/>
      </w:pPr>
      <w:rPr>
        <w:rFonts w:ascii="IRLotus" w:eastAsia="Traditional Arabic"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D45BA"/>
    <w:multiLevelType w:val="hybridMultilevel"/>
    <w:tmpl w:val="EFCA973C"/>
    <w:lvl w:ilvl="0" w:tplc="FB4AED86">
      <w:start w:val="1"/>
      <w:numFmt w:val="decimal"/>
      <w:lvlText w:val="%1."/>
      <w:lvlJc w:val="left"/>
      <w:pPr>
        <w:ind w:left="-492" w:hanging="360"/>
      </w:pPr>
      <w:rPr>
        <w:rFonts w:ascii="Times New Roman" w:hAnsi="Times New Roman" w:cs="YKMitra" w:hint="default"/>
        <w:sz w:val="18"/>
      </w:rPr>
    </w:lvl>
    <w:lvl w:ilvl="1" w:tplc="04090019" w:tentative="1">
      <w:start w:val="1"/>
      <w:numFmt w:val="lowerLetter"/>
      <w:lvlText w:val="%2."/>
      <w:lvlJc w:val="left"/>
      <w:pPr>
        <w:ind w:left="22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1668" w:hanging="360"/>
      </w:pPr>
    </w:lvl>
    <w:lvl w:ilvl="4" w:tplc="04090019" w:tentative="1">
      <w:start w:val="1"/>
      <w:numFmt w:val="lowerLetter"/>
      <w:lvlText w:val="%5."/>
      <w:lvlJc w:val="left"/>
      <w:pPr>
        <w:ind w:left="2388" w:hanging="360"/>
      </w:pPr>
    </w:lvl>
    <w:lvl w:ilvl="5" w:tplc="0409001B" w:tentative="1">
      <w:start w:val="1"/>
      <w:numFmt w:val="lowerRoman"/>
      <w:lvlText w:val="%6."/>
      <w:lvlJc w:val="right"/>
      <w:pPr>
        <w:ind w:left="3108" w:hanging="180"/>
      </w:pPr>
    </w:lvl>
    <w:lvl w:ilvl="6" w:tplc="0409000F" w:tentative="1">
      <w:start w:val="1"/>
      <w:numFmt w:val="decimal"/>
      <w:lvlText w:val="%7."/>
      <w:lvlJc w:val="left"/>
      <w:pPr>
        <w:ind w:left="3828" w:hanging="360"/>
      </w:pPr>
    </w:lvl>
    <w:lvl w:ilvl="7" w:tplc="04090019" w:tentative="1">
      <w:start w:val="1"/>
      <w:numFmt w:val="lowerLetter"/>
      <w:lvlText w:val="%8."/>
      <w:lvlJc w:val="left"/>
      <w:pPr>
        <w:ind w:left="4548" w:hanging="360"/>
      </w:pPr>
    </w:lvl>
    <w:lvl w:ilvl="8" w:tplc="0409001B" w:tentative="1">
      <w:start w:val="1"/>
      <w:numFmt w:val="lowerRoman"/>
      <w:lvlText w:val="%9."/>
      <w:lvlJc w:val="right"/>
      <w:pPr>
        <w:ind w:left="5268" w:hanging="180"/>
      </w:pPr>
    </w:lvl>
  </w:abstractNum>
  <w:abstractNum w:abstractNumId="5" w15:restartNumberingAfterBreak="0">
    <w:nsid w:val="2E6A43A7"/>
    <w:multiLevelType w:val="hybridMultilevel"/>
    <w:tmpl w:val="3EE42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5524F"/>
    <w:multiLevelType w:val="hybridMultilevel"/>
    <w:tmpl w:val="4D74CC4A"/>
    <w:lvl w:ilvl="0" w:tplc="CA1C4638">
      <w:start w:val="1"/>
      <w:numFmt w:val="decimal"/>
      <w:lvlText w:val="%1."/>
      <w:lvlJc w:val="left"/>
      <w:pPr>
        <w:ind w:left="466" w:hanging="468"/>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31DA2D1E"/>
    <w:multiLevelType w:val="hybridMultilevel"/>
    <w:tmpl w:val="AB2E8274"/>
    <w:lvl w:ilvl="0" w:tplc="2CF6543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4115477"/>
    <w:multiLevelType w:val="hybridMultilevel"/>
    <w:tmpl w:val="E96C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667ED5"/>
    <w:multiLevelType w:val="hybridMultilevel"/>
    <w:tmpl w:val="3CF0200C"/>
    <w:lvl w:ilvl="0" w:tplc="AA003A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2A3AAD"/>
    <w:multiLevelType w:val="multilevel"/>
    <w:tmpl w:val="7EF88F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70B63E0C"/>
    <w:multiLevelType w:val="hybridMultilevel"/>
    <w:tmpl w:val="14F8EDE2"/>
    <w:lvl w:ilvl="0" w:tplc="0968290C">
      <w:start w:val="1"/>
      <w:numFmt w:val="bullet"/>
      <w:lvlText w:val="-"/>
      <w:lvlJc w:val="left"/>
      <w:pPr>
        <w:ind w:left="1080" w:hanging="360"/>
      </w:pPr>
      <w:rPr>
        <w:rFonts w:ascii="IRLotus" w:eastAsia="Times New Roman" w:hAnsi="IRLotus" w:cs="IR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6A4E31"/>
    <w:multiLevelType w:val="multilevel"/>
    <w:tmpl w:val="E36EA9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E9A3F35"/>
    <w:multiLevelType w:val="multilevel"/>
    <w:tmpl w:val="7C58CD72"/>
    <w:lvl w:ilvl="0">
      <w:start w:val="1"/>
      <w:numFmt w:val="decimal"/>
      <w:lvlText w:val="%1-"/>
      <w:lvlJc w:val="left"/>
      <w:pPr>
        <w:ind w:left="648" w:hanging="360"/>
      </w:pPr>
      <w:rPr>
        <w:rFonts w:ascii="IRLotus" w:eastAsia="IRLotus" w:hAnsi="IRLotus" w:cs="(AH) Manal Light"/>
        <w:color w:val="000000"/>
      </w:r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15:restartNumberingAfterBreak="0">
    <w:nsid w:val="7FE00C2D"/>
    <w:multiLevelType w:val="hybridMultilevel"/>
    <w:tmpl w:val="FF68FA2A"/>
    <w:lvl w:ilvl="0" w:tplc="961AD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561028">
    <w:abstractNumId w:val="9"/>
  </w:num>
  <w:num w:numId="2" w16cid:durableId="1170872394">
    <w:abstractNumId w:val="8"/>
  </w:num>
  <w:num w:numId="3" w16cid:durableId="1452214067">
    <w:abstractNumId w:val="14"/>
  </w:num>
  <w:num w:numId="4" w16cid:durableId="391582984">
    <w:abstractNumId w:val="2"/>
  </w:num>
  <w:num w:numId="5" w16cid:durableId="1064180043">
    <w:abstractNumId w:val="11"/>
  </w:num>
  <w:num w:numId="6" w16cid:durableId="1820151812">
    <w:abstractNumId w:val="1"/>
  </w:num>
  <w:num w:numId="7" w16cid:durableId="652950500">
    <w:abstractNumId w:val="4"/>
  </w:num>
  <w:num w:numId="8" w16cid:durableId="1414470794">
    <w:abstractNumId w:val="6"/>
  </w:num>
  <w:num w:numId="9" w16cid:durableId="161941468">
    <w:abstractNumId w:val="3"/>
  </w:num>
  <w:num w:numId="10" w16cid:durableId="2047441499">
    <w:abstractNumId w:val="5"/>
  </w:num>
  <w:num w:numId="11" w16cid:durableId="589431533">
    <w:abstractNumId w:val="13"/>
  </w:num>
  <w:num w:numId="12" w16cid:durableId="1262376073">
    <w:abstractNumId w:val="10"/>
  </w:num>
  <w:num w:numId="13" w16cid:durableId="1697802813">
    <w:abstractNumId w:val="12"/>
  </w:num>
  <w:num w:numId="14" w16cid:durableId="121775317">
    <w:abstractNumId w:val="0"/>
  </w:num>
  <w:num w:numId="15" w16cid:durableId="368457093">
    <w:abstractNumId w:val="7"/>
  </w:num>
  <w:num w:numId="16" w16cid:durableId="644630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A3"/>
    <w:rsid w:val="00003E91"/>
    <w:rsid w:val="000160C7"/>
    <w:rsid w:val="00041B5B"/>
    <w:rsid w:val="00073544"/>
    <w:rsid w:val="001231DE"/>
    <w:rsid w:val="00154819"/>
    <w:rsid w:val="00195BA6"/>
    <w:rsid w:val="001B2FA0"/>
    <w:rsid w:val="001B6348"/>
    <w:rsid w:val="001F2081"/>
    <w:rsid w:val="001F7A0C"/>
    <w:rsid w:val="00204431"/>
    <w:rsid w:val="0027409B"/>
    <w:rsid w:val="00285583"/>
    <w:rsid w:val="002962AD"/>
    <w:rsid w:val="00296BF0"/>
    <w:rsid w:val="003059A1"/>
    <w:rsid w:val="00311A8A"/>
    <w:rsid w:val="00385529"/>
    <w:rsid w:val="003E66BA"/>
    <w:rsid w:val="00407870"/>
    <w:rsid w:val="0041074C"/>
    <w:rsid w:val="005166DA"/>
    <w:rsid w:val="005460E8"/>
    <w:rsid w:val="00573302"/>
    <w:rsid w:val="005C4FE2"/>
    <w:rsid w:val="005F6711"/>
    <w:rsid w:val="00635047"/>
    <w:rsid w:val="00636014"/>
    <w:rsid w:val="00697099"/>
    <w:rsid w:val="006A3BFA"/>
    <w:rsid w:val="006B5CA3"/>
    <w:rsid w:val="006C1190"/>
    <w:rsid w:val="00713DB8"/>
    <w:rsid w:val="00760FFE"/>
    <w:rsid w:val="007A3246"/>
    <w:rsid w:val="008E59C9"/>
    <w:rsid w:val="008F0BCA"/>
    <w:rsid w:val="009A4A9A"/>
    <w:rsid w:val="009C0293"/>
    <w:rsid w:val="009E267F"/>
    <w:rsid w:val="00B264FA"/>
    <w:rsid w:val="00C62A7A"/>
    <w:rsid w:val="00C64152"/>
    <w:rsid w:val="00CE31A5"/>
    <w:rsid w:val="00D46A48"/>
    <w:rsid w:val="00D51C08"/>
    <w:rsid w:val="00D54C6D"/>
    <w:rsid w:val="00D55584"/>
    <w:rsid w:val="00D642F7"/>
    <w:rsid w:val="00DF6D26"/>
    <w:rsid w:val="00E220FC"/>
    <w:rsid w:val="00E25B02"/>
    <w:rsid w:val="00E4713C"/>
    <w:rsid w:val="00E601FF"/>
    <w:rsid w:val="00E9515E"/>
    <w:rsid w:val="00EA3629"/>
    <w:rsid w:val="00EE2E49"/>
    <w:rsid w:val="00F93FD1"/>
    <w:rsid w:val="00FC3AB3"/>
    <w:rsid w:val="00FD7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B3D6"/>
  <w15:chartTrackingRefBased/>
  <w15:docId w15:val="{74480F42-F430-49E3-A94E-C9AE8EAA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CA3"/>
    <w:pPr>
      <w:bidi/>
      <w:spacing w:after="200" w:line="276" w:lineRule="auto"/>
    </w:pPr>
    <w:rPr>
      <w:rFonts w:ascii="Calibri" w:eastAsia="Calibri" w:hAnsi="Calibri" w:cs="Arial"/>
      <w:noProof/>
      <w:lang w:bidi="fa-IR"/>
    </w:rPr>
  </w:style>
  <w:style w:type="paragraph" w:styleId="Heading1">
    <w:name w:val="heading 1"/>
    <w:basedOn w:val="Normal"/>
    <w:next w:val="Normal"/>
    <w:link w:val="Heading1Char"/>
    <w:qFormat/>
    <w:rsid w:val="006B5CA3"/>
    <w:pPr>
      <w:keepNext/>
      <w:keepLines/>
      <w:pBdr>
        <w:bottom w:val="single" w:sz="4" w:space="1" w:color="5B9BD5"/>
      </w:pBdr>
      <w:bidi w:val="0"/>
      <w:spacing w:before="400" w:after="40" w:line="240" w:lineRule="auto"/>
      <w:outlineLvl w:val="0"/>
    </w:pPr>
    <w:rPr>
      <w:rFonts w:ascii="Calibri Light" w:eastAsia="Times New Roman" w:hAnsi="Calibri Light" w:cs="Times New Roman"/>
      <w:noProof w:val="0"/>
      <w:color w:val="2E74B5"/>
      <w:sz w:val="36"/>
      <w:szCs w:val="36"/>
      <w:lang w:bidi="ar-SA"/>
    </w:rPr>
  </w:style>
  <w:style w:type="paragraph" w:styleId="Heading2">
    <w:name w:val="heading 2"/>
    <w:basedOn w:val="Normal"/>
    <w:next w:val="Normal"/>
    <w:link w:val="Heading2Char"/>
    <w:unhideWhenUsed/>
    <w:qFormat/>
    <w:rsid w:val="006B5CA3"/>
    <w:pPr>
      <w:keepNext/>
      <w:keepLines/>
      <w:bidi w:val="0"/>
      <w:spacing w:before="160" w:after="0" w:line="240" w:lineRule="auto"/>
      <w:outlineLvl w:val="1"/>
    </w:pPr>
    <w:rPr>
      <w:rFonts w:ascii="Calibri Light" w:eastAsia="Times New Roman" w:hAnsi="Calibri Light" w:cs="Times New Roman"/>
      <w:noProof w:val="0"/>
      <w:color w:val="2E74B5"/>
      <w:sz w:val="28"/>
      <w:szCs w:val="28"/>
      <w:lang w:bidi="ar-SA"/>
    </w:rPr>
  </w:style>
  <w:style w:type="paragraph" w:styleId="Heading3">
    <w:name w:val="heading 3"/>
    <w:basedOn w:val="Normal"/>
    <w:next w:val="Normal"/>
    <w:link w:val="Heading3Char"/>
    <w:uiPriority w:val="9"/>
    <w:unhideWhenUsed/>
    <w:qFormat/>
    <w:rsid w:val="006B5CA3"/>
    <w:pPr>
      <w:keepNext/>
      <w:keepLines/>
      <w:bidi w:val="0"/>
      <w:spacing w:before="80" w:after="0" w:line="240" w:lineRule="auto"/>
      <w:outlineLvl w:val="2"/>
    </w:pPr>
    <w:rPr>
      <w:rFonts w:ascii="Calibri Light" w:eastAsia="Times New Roman" w:hAnsi="Calibri Light" w:cs="Times New Roman"/>
      <w:noProof w:val="0"/>
      <w:color w:val="404040"/>
      <w:sz w:val="26"/>
      <w:szCs w:val="26"/>
      <w:lang w:bidi="ar-SA"/>
    </w:rPr>
  </w:style>
  <w:style w:type="paragraph" w:styleId="Heading4">
    <w:name w:val="heading 4"/>
    <w:basedOn w:val="Normal"/>
    <w:next w:val="Normal"/>
    <w:link w:val="Heading4Char"/>
    <w:unhideWhenUsed/>
    <w:qFormat/>
    <w:rsid w:val="006B5CA3"/>
    <w:pPr>
      <w:keepNext/>
      <w:keepLines/>
      <w:bidi w:val="0"/>
      <w:spacing w:before="80" w:after="0" w:line="264" w:lineRule="auto"/>
      <w:outlineLvl w:val="3"/>
    </w:pPr>
    <w:rPr>
      <w:rFonts w:ascii="Calibri Light" w:eastAsia="Times New Roman" w:hAnsi="Calibri Light" w:cs="Times New Roman"/>
      <w:noProof w:val="0"/>
      <w:sz w:val="24"/>
      <w:szCs w:val="24"/>
      <w:lang w:bidi="ar-SA"/>
    </w:rPr>
  </w:style>
  <w:style w:type="paragraph" w:styleId="Heading5">
    <w:name w:val="heading 5"/>
    <w:basedOn w:val="Normal"/>
    <w:next w:val="Normal"/>
    <w:link w:val="Heading5Char"/>
    <w:unhideWhenUsed/>
    <w:qFormat/>
    <w:rsid w:val="006B5CA3"/>
    <w:pPr>
      <w:keepNext/>
      <w:keepLines/>
      <w:bidi w:val="0"/>
      <w:spacing w:before="80" w:after="0" w:line="264" w:lineRule="auto"/>
      <w:outlineLvl w:val="4"/>
    </w:pPr>
    <w:rPr>
      <w:rFonts w:ascii="Calibri Light" w:eastAsia="Times New Roman" w:hAnsi="Calibri Light" w:cs="Times New Roman"/>
      <w:i/>
      <w:iCs/>
      <w:noProof w:val="0"/>
      <w:lang w:bidi="ar-SA"/>
    </w:rPr>
  </w:style>
  <w:style w:type="paragraph" w:styleId="Heading6">
    <w:name w:val="heading 6"/>
    <w:basedOn w:val="Normal"/>
    <w:next w:val="Normal"/>
    <w:link w:val="Heading6Char"/>
    <w:unhideWhenUsed/>
    <w:qFormat/>
    <w:rsid w:val="006B5CA3"/>
    <w:pPr>
      <w:keepNext/>
      <w:keepLines/>
      <w:bidi w:val="0"/>
      <w:spacing w:before="80" w:after="0" w:line="264" w:lineRule="auto"/>
      <w:outlineLvl w:val="5"/>
    </w:pPr>
    <w:rPr>
      <w:rFonts w:ascii="Calibri Light" w:eastAsia="Times New Roman" w:hAnsi="Calibri Light" w:cs="Times New Roman"/>
      <w:noProof w:val="0"/>
      <w:color w:val="595959"/>
      <w:sz w:val="21"/>
      <w:szCs w:val="21"/>
      <w:lang w:bidi="ar-SA"/>
    </w:rPr>
  </w:style>
  <w:style w:type="paragraph" w:styleId="Heading7">
    <w:name w:val="heading 7"/>
    <w:basedOn w:val="Normal"/>
    <w:next w:val="Normal"/>
    <w:link w:val="Heading7Char"/>
    <w:uiPriority w:val="9"/>
    <w:semiHidden/>
    <w:unhideWhenUsed/>
    <w:qFormat/>
    <w:rsid w:val="006B5CA3"/>
    <w:pPr>
      <w:keepNext/>
      <w:keepLines/>
      <w:bidi w:val="0"/>
      <w:spacing w:before="80" w:after="0" w:line="264" w:lineRule="auto"/>
      <w:outlineLvl w:val="6"/>
    </w:pPr>
    <w:rPr>
      <w:rFonts w:ascii="Calibri Light" w:eastAsia="Times New Roman" w:hAnsi="Calibri Light" w:cs="Times New Roman"/>
      <w:i/>
      <w:iCs/>
      <w:noProof w:val="0"/>
      <w:color w:val="595959"/>
      <w:sz w:val="21"/>
      <w:szCs w:val="21"/>
      <w:lang w:bidi="ar-SA"/>
    </w:rPr>
  </w:style>
  <w:style w:type="paragraph" w:styleId="Heading8">
    <w:name w:val="heading 8"/>
    <w:basedOn w:val="Normal"/>
    <w:next w:val="Normal"/>
    <w:link w:val="Heading8Char"/>
    <w:uiPriority w:val="9"/>
    <w:semiHidden/>
    <w:unhideWhenUsed/>
    <w:qFormat/>
    <w:rsid w:val="006B5CA3"/>
    <w:pPr>
      <w:keepNext/>
      <w:keepLines/>
      <w:bidi w:val="0"/>
      <w:spacing w:before="80" w:after="0" w:line="264" w:lineRule="auto"/>
      <w:outlineLvl w:val="7"/>
    </w:pPr>
    <w:rPr>
      <w:rFonts w:ascii="Calibri Light" w:eastAsia="Times New Roman" w:hAnsi="Calibri Light" w:cs="Times New Roman"/>
      <w:smallCaps/>
      <w:noProof w:val="0"/>
      <w:color w:val="595959"/>
      <w:sz w:val="21"/>
      <w:szCs w:val="21"/>
      <w:lang w:bidi="ar-SA"/>
    </w:rPr>
  </w:style>
  <w:style w:type="paragraph" w:styleId="Heading9">
    <w:name w:val="heading 9"/>
    <w:basedOn w:val="Normal"/>
    <w:next w:val="Normal"/>
    <w:link w:val="Heading9Char"/>
    <w:uiPriority w:val="9"/>
    <w:semiHidden/>
    <w:unhideWhenUsed/>
    <w:qFormat/>
    <w:rsid w:val="006B5CA3"/>
    <w:pPr>
      <w:keepNext/>
      <w:keepLines/>
      <w:bidi w:val="0"/>
      <w:spacing w:before="80" w:after="0" w:line="264" w:lineRule="auto"/>
      <w:outlineLvl w:val="8"/>
    </w:pPr>
    <w:rPr>
      <w:rFonts w:ascii="Calibri Light" w:eastAsia="Times New Roman" w:hAnsi="Calibri Light" w:cs="Times New Roman"/>
      <w:i/>
      <w:iCs/>
      <w:smallCaps/>
      <w:noProof w:val="0"/>
      <w:color w:val="595959"/>
      <w:sz w:val="21"/>
      <w:szCs w:val="21"/>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5CA3"/>
    <w:rPr>
      <w:rFonts w:ascii="Calibri Light" w:eastAsia="Times New Roman" w:hAnsi="Calibri Light" w:cs="Times New Roman"/>
      <w:color w:val="2E74B5"/>
      <w:sz w:val="36"/>
      <w:szCs w:val="36"/>
    </w:rPr>
  </w:style>
  <w:style w:type="character" w:customStyle="1" w:styleId="Heading2Char">
    <w:name w:val="Heading 2 Char"/>
    <w:basedOn w:val="DefaultParagraphFont"/>
    <w:link w:val="Heading2"/>
    <w:rsid w:val="006B5CA3"/>
    <w:rPr>
      <w:rFonts w:ascii="Calibri Light" w:eastAsia="Times New Roman" w:hAnsi="Calibri Light" w:cs="Times New Roman"/>
      <w:color w:val="2E74B5"/>
      <w:sz w:val="28"/>
      <w:szCs w:val="28"/>
    </w:rPr>
  </w:style>
  <w:style w:type="character" w:customStyle="1" w:styleId="Heading3Char">
    <w:name w:val="Heading 3 Char"/>
    <w:basedOn w:val="DefaultParagraphFont"/>
    <w:link w:val="Heading3"/>
    <w:uiPriority w:val="9"/>
    <w:rsid w:val="006B5CA3"/>
    <w:rPr>
      <w:rFonts w:ascii="Calibri Light" w:eastAsia="Times New Roman" w:hAnsi="Calibri Light" w:cs="Times New Roman"/>
      <w:color w:val="404040"/>
      <w:sz w:val="26"/>
      <w:szCs w:val="26"/>
    </w:rPr>
  </w:style>
  <w:style w:type="character" w:customStyle="1" w:styleId="Heading4Char">
    <w:name w:val="Heading 4 Char"/>
    <w:basedOn w:val="DefaultParagraphFont"/>
    <w:link w:val="Heading4"/>
    <w:rsid w:val="006B5CA3"/>
    <w:rPr>
      <w:rFonts w:ascii="Calibri Light" w:eastAsia="Times New Roman" w:hAnsi="Calibri Light" w:cs="Times New Roman"/>
      <w:sz w:val="24"/>
      <w:szCs w:val="24"/>
    </w:rPr>
  </w:style>
  <w:style w:type="character" w:customStyle="1" w:styleId="Heading5Char">
    <w:name w:val="Heading 5 Char"/>
    <w:basedOn w:val="DefaultParagraphFont"/>
    <w:link w:val="Heading5"/>
    <w:rsid w:val="006B5CA3"/>
    <w:rPr>
      <w:rFonts w:ascii="Calibri Light" w:eastAsia="Times New Roman" w:hAnsi="Calibri Light" w:cs="Times New Roman"/>
      <w:i/>
      <w:iCs/>
    </w:rPr>
  </w:style>
  <w:style w:type="character" w:customStyle="1" w:styleId="Heading6Char">
    <w:name w:val="Heading 6 Char"/>
    <w:basedOn w:val="DefaultParagraphFont"/>
    <w:link w:val="Heading6"/>
    <w:rsid w:val="006B5CA3"/>
    <w:rPr>
      <w:rFonts w:ascii="Calibri Light" w:eastAsia="Times New Roman" w:hAnsi="Calibri Light" w:cs="Times New Roman"/>
      <w:color w:val="595959"/>
      <w:sz w:val="21"/>
      <w:szCs w:val="21"/>
    </w:rPr>
  </w:style>
  <w:style w:type="character" w:customStyle="1" w:styleId="Heading7Char">
    <w:name w:val="Heading 7 Char"/>
    <w:basedOn w:val="DefaultParagraphFont"/>
    <w:link w:val="Heading7"/>
    <w:uiPriority w:val="9"/>
    <w:semiHidden/>
    <w:rsid w:val="006B5CA3"/>
    <w:rPr>
      <w:rFonts w:ascii="Calibri Light" w:eastAsia="Times New Roman" w:hAnsi="Calibri Light" w:cs="Times New Roman"/>
      <w:i/>
      <w:iCs/>
      <w:color w:val="595959"/>
      <w:sz w:val="21"/>
      <w:szCs w:val="21"/>
    </w:rPr>
  </w:style>
  <w:style w:type="character" w:customStyle="1" w:styleId="Heading8Char">
    <w:name w:val="Heading 8 Char"/>
    <w:basedOn w:val="DefaultParagraphFont"/>
    <w:link w:val="Heading8"/>
    <w:uiPriority w:val="9"/>
    <w:semiHidden/>
    <w:rsid w:val="006B5CA3"/>
    <w:rPr>
      <w:rFonts w:ascii="Calibri Light" w:eastAsia="Times New Roman" w:hAnsi="Calibri Light" w:cs="Times New Roman"/>
      <w:smallCaps/>
      <w:color w:val="595959"/>
      <w:sz w:val="21"/>
      <w:szCs w:val="21"/>
    </w:rPr>
  </w:style>
  <w:style w:type="character" w:customStyle="1" w:styleId="Heading9Char">
    <w:name w:val="Heading 9 Char"/>
    <w:basedOn w:val="DefaultParagraphFont"/>
    <w:link w:val="Heading9"/>
    <w:uiPriority w:val="9"/>
    <w:semiHidden/>
    <w:rsid w:val="006B5CA3"/>
    <w:rPr>
      <w:rFonts w:ascii="Calibri Light" w:eastAsia="Times New Roman" w:hAnsi="Calibri Light" w:cs="Times New Roman"/>
      <w:i/>
      <w:iCs/>
      <w:smallCaps/>
      <w:color w:val="595959"/>
      <w:sz w:val="21"/>
      <w:szCs w:val="21"/>
    </w:rPr>
  </w:style>
  <w:style w:type="character" w:styleId="Hyperlink">
    <w:name w:val="Hyperlink"/>
    <w:uiPriority w:val="99"/>
    <w:unhideWhenUsed/>
    <w:rsid w:val="006B5CA3"/>
    <w:rPr>
      <w:color w:val="0000FF"/>
      <w:u w:val="single"/>
    </w:rPr>
  </w:style>
  <w:style w:type="paragraph" w:styleId="ListParagraph">
    <w:name w:val="List Paragraph"/>
    <w:basedOn w:val="Normal"/>
    <w:uiPriority w:val="34"/>
    <w:qFormat/>
    <w:rsid w:val="006B5CA3"/>
    <w:pPr>
      <w:ind w:left="720"/>
      <w:contextualSpacing/>
    </w:pPr>
  </w:style>
  <w:style w:type="character" w:styleId="CommentReference">
    <w:name w:val="annotation reference"/>
    <w:uiPriority w:val="99"/>
    <w:semiHidden/>
    <w:unhideWhenUsed/>
    <w:rsid w:val="006B5CA3"/>
    <w:rPr>
      <w:sz w:val="16"/>
      <w:szCs w:val="16"/>
    </w:rPr>
  </w:style>
  <w:style w:type="paragraph" w:styleId="CommentText">
    <w:name w:val="annotation text"/>
    <w:basedOn w:val="Normal"/>
    <w:link w:val="CommentTextChar"/>
    <w:uiPriority w:val="99"/>
    <w:semiHidden/>
    <w:unhideWhenUsed/>
    <w:rsid w:val="006B5CA3"/>
    <w:pPr>
      <w:spacing w:line="240" w:lineRule="auto"/>
    </w:pPr>
    <w:rPr>
      <w:sz w:val="20"/>
      <w:szCs w:val="20"/>
    </w:rPr>
  </w:style>
  <w:style w:type="character" w:customStyle="1" w:styleId="CommentTextChar">
    <w:name w:val="Comment Text Char"/>
    <w:basedOn w:val="DefaultParagraphFont"/>
    <w:link w:val="CommentText"/>
    <w:uiPriority w:val="99"/>
    <w:semiHidden/>
    <w:rsid w:val="006B5CA3"/>
    <w:rPr>
      <w:rFonts w:ascii="Calibri" w:eastAsia="Calibri" w:hAnsi="Calibri" w:cs="Arial"/>
      <w:noProof/>
      <w:sz w:val="20"/>
      <w:szCs w:val="20"/>
      <w:lang w:bidi="fa-IR"/>
    </w:rPr>
  </w:style>
  <w:style w:type="paragraph" w:styleId="CommentSubject">
    <w:name w:val="annotation subject"/>
    <w:basedOn w:val="CommentText"/>
    <w:next w:val="CommentText"/>
    <w:link w:val="CommentSubjectChar"/>
    <w:uiPriority w:val="99"/>
    <w:semiHidden/>
    <w:unhideWhenUsed/>
    <w:rsid w:val="006B5CA3"/>
    <w:rPr>
      <w:b/>
      <w:bCs/>
    </w:rPr>
  </w:style>
  <w:style w:type="character" w:customStyle="1" w:styleId="CommentSubjectChar">
    <w:name w:val="Comment Subject Char"/>
    <w:basedOn w:val="CommentTextChar"/>
    <w:link w:val="CommentSubject"/>
    <w:uiPriority w:val="99"/>
    <w:semiHidden/>
    <w:rsid w:val="006B5CA3"/>
    <w:rPr>
      <w:rFonts w:ascii="Calibri" w:eastAsia="Calibri" w:hAnsi="Calibri" w:cs="Arial"/>
      <w:b/>
      <w:bCs/>
      <w:noProof/>
      <w:sz w:val="20"/>
      <w:szCs w:val="20"/>
      <w:lang w:bidi="fa-IR"/>
    </w:rPr>
  </w:style>
  <w:style w:type="paragraph" w:styleId="BalloonText">
    <w:name w:val="Balloon Text"/>
    <w:basedOn w:val="Normal"/>
    <w:link w:val="BalloonTextChar"/>
    <w:uiPriority w:val="99"/>
    <w:semiHidden/>
    <w:unhideWhenUsed/>
    <w:rsid w:val="006B5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CA3"/>
    <w:rPr>
      <w:rFonts w:ascii="Segoe UI" w:eastAsia="Calibri" w:hAnsi="Segoe UI" w:cs="Segoe UI"/>
      <w:noProof/>
      <w:sz w:val="18"/>
      <w:szCs w:val="18"/>
      <w:lang w:bidi="fa-IR"/>
    </w:rPr>
  </w:style>
  <w:style w:type="paragraph" w:styleId="Header">
    <w:name w:val="header"/>
    <w:basedOn w:val="Normal"/>
    <w:link w:val="HeaderChar"/>
    <w:uiPriority w:val="99"/>
    <w:unhideWhenUsed/>
    <w:rsid w:val="006B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CA3"/>
    <w:rPr>
      <w:rFonts w:ascii="Calibri" w:eastAsia="Calibri" w:hAnsi="Calibri" w:cs="Arial"/>
      <w:noProof/>
      <w:lang w:bidi="fa-IR"/>
    </w:rPr>
  </w:style>
  <w:style w:type="paragraph" w:styleId="Footer">
    <w:name w:val="footer"/>
    <w:basedOn w:val="Normal"/>
    <w:link w:val="FooterChar"/>
    <w:uiPriority w:val="99"/>
    <w:unhideWhenUsed/>
    <w:rsid w:val="006B5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CA3"/>
    <w:rPr>
      <w:rFonts w:ascii="Calibri" w:eastAsia="Calibri" w:hAnsi="Calibri" w:cs="Arial"/>
      <w:noProof/>
      <w:lang w:bidi="fa-IR"/>
    </w:rPr>
  </w:style>
  <w:style w:type="character" w:customStyle="1" w:styleId="articletitle1">
    <w:name w:val="article_title1"/>
    <w:rsid w:val="006B5CA3"/>
    <w:rPr>
      <w:b/>
      <w:bCs/>
    </w:rPr>
  </w:style>
  <w:style w:type="paragraph" w:styleId="FootnoteText">
    <w:name w:val="footnote text"/>
    <w:basedOn w:val="Normal"/>
    <w:link w:val="FootnoteTextChar"/>
    <w:uiPriority w:val="99"/>
    <w:unhideWhenUsed/>
    <w:qFormat/>
    <w:rsid w:val="006B5CA3"/>
    <w:rPr>
      <w:sz w:val="20"/>
      <w:szCs w:val="20"/>
    </w:rPr>
  </w:style>
  <w:style w:type="character" w:customStyle="1" w:styleId="FootnoteTextChar">
    <w:name w:val="Footnote Text Char"/>
    <w:basedOn w:val="DefaultParagraphFont"/>
    <w:link w:val="FootnoteText"/>
    <w:uiPriority w:val="99"/>
    <w:rsid w:val="006B5CA3"/>
    <w:rPr>
      <w:rFonts w:ascii="Calibri" w:eastAsia="Calibri" w:hAnsi="Calibri" w:cs="Arial"/>
      <w:noProof/>
      <w:sz w:val="20"/>
      <w:szCs w:val="20"/>
      <w:lang w:bidi="fa-IR"/>
    </w:rPr>
  </w:style>
  <w:style w:type="character" w:styleId="FootnoteReference">
    <w:name w:val="footnote reference"/>
    <w:uiPriority w:val="99"/>
    <w:unhideWhenUsed/>
    <w:rsid w:val="006B5CA3"/>
    <w:rPr>
      <w:vertAlign w:val="superscript"/>
    </w:rPr>
  </w:style>
  <w:style w:type="table" w:styleId="TableGrid">
    <w:name w:val="Table Grid"/>
    <w:basedOn w:val="TableNormal"/>
    <w:uiPriority w:val="59"/>
    <w:rsid w:val="006B5C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6B5CA3"/>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
    <w:name w:val="Light Shading"/>
    <w:basedOn w:val="TableNormal"/>
    <w:uiPriority w:val="60"/>
    <w:rsid w:val="006B5CA3"/>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
    <w:name w:val="No List1"/>
    <w:next w:val="NoList"/>
    <w:uiPriority w:val="99"/>
    <w:semiHidden/>
    <w:unhideWhenUsed/>
    <w:rsid w:val="006B5CA3"/>
  </w:style>
  <w:style w:type="paragraph" w:styleId="EndnoteText">
    <w:name w:val="endnote text"/>
    <w:basedOn w:val="Normal"/>
    <w:link w:val="EndnoteTextChar"/>
    <w:uiPriority w:val="99"/>
    <w:unhideWhenUsed/>
    <w:rsid w:val="006B5CA3"/>
    <w:pPr>
      <w:spacing w:after="0" w:line="240" w:lineRule="auto"/>
    </w:pPr>
    <w:rPr>
      <w:rFonts w:eastAsia="Times New Roman"/>
      <w:noProof w:val="0"/>
      <w:sz w:val="20"/>
      <w:szCs w:val="20"/>
    </w:rPr>
  </w:style>
  <w:style w:type="character" w:customStyle="1" w:styleId="EndnoteTextChar">
    <w:name w:val="Endnote Text Char"/>
    <w:basedOn w:val="DefaultParagraphFont"/>
    <w:link w:val="EndnoteText"/>
    <w:uiPriority w:val="99"/>
    <w:rsid w:val="006B5CA3"/>
    <w:rPr>
      <w:rFonts w:ascii="Calibri" w:eastAsia="Times New Roman" w:hAnsi="Calibri" w:cs="Arial"/>
      <w:sz w:val="20"/>
      <w:szCs w:val="20"/>
      <w:lang w:bidi="fa-IR"/>
    </w:rPr>
  </w:style>
  <w:style w:type="character" w:styleId="EndnoteReference">
    <w:name w:val="endnote reference"/>
    <w:uiPriority w:val="99"/>
    <w:semiHidden/>
    <w:unhideWhenUsed/>
    <w:rsid w:val="006B5CA3"/>
    <w:rPr>
      <w:vertAlign w:val="superscript"/>
    </w:rPr>
  </w:style>
  <w:style w:type="character" w:customStyle="1" w:styleId="rynqvb">
    <w:name w:val="rynqvb"/>
    <w:rsid w:val="006B5CA3"/>
  </w:style>
  <w:style w:type="numbering" w:customStyle="1" w:styleId="NoList2">
    <w:name w:val="No List2"/>
    <w:next w:val="NoList"/>
    <w:uiPriority w:val="99"/>
    <w:semiHidden/>
    <w:unhideWhenUsed/>
    <w:rsid w:val="006B5CA3"/>
  </w:style>
  <w:style w:type="paragraph" w:styleId="Caption">
    <w:name w:val="caption"/>
    <w:basedOn w:val="Normal"/>
    <w:next w:val="Normal"/>
    <w:uiPriority w:val="35"/>
    <w:semiHidden/>
    <w:unhideWhenUsed/>
    <w:qFormat/>
    <w:rsid w:val="006B5CA3"/>
    <w:pPr>
      <w:bidi w:val="0"/>
      <w:spacing w:after="120" w:line="240" w:lineRule="auto"/>
    </w:pPr>
    <w:rPr>
      <w:rFonts w:eastAsia="Times New Roman"/>
      <w:b/>
      <w:bCs/>
      <w:noProof w:val="0"/>
      <w:color w:val="404040"/>
      <w:sz w:val="20"/>
      <w:szCs w:val="20"/>
      <w:lang w:bidi="ar-SA"/>
    </w:rPr>
  </w:style>
  <w:style w:type="paragraph" w:styleId="Title">
    <w:name w:val="Title"/>
    <w:basedOn w:val="Normal"/>
    <w:next w:val="Normal"/>
    <w:link w:val="TitleChar"/>
    <w:qFormat/>
    <w:rsid w:val="006B5CA3"/>
    <w:pPr>
      <w:bidi w:val="0"/>
      <w:spacing w:after="0" w:line="240" w:lineRule="auto"/>
      <w:contextualSpacing/>
    </w:pPr>
    <w:rPr>
      <w:rFonts w:ascii="Calibri Light" w:eastAsia="Times New Roman" w:hAnsi="Calibri Light" w:cs="Times New Roman"/>
      <w:noProof w:val="0"/>
      <w:color w:val="2E74B5"/>
      <w:spacing w:val="-7"/>
      <w:sz w:val="80"/>
      <w:szCs w:val="80"/>
      <w:lang w:bidi="ar-SA"/>
    </w:rPr>
  </w:style>
  <w:style w:type="character" w:customStyle="1" w:styleId="TitleChar">
    <w:name w:val="Title Char"/>
    <w:basedOn w:val="DefaultParagraphFont"/>
    <w:link w:val="Title"/>
    <w:rsid w:val="006B5CA3"/>
    <w:rPr>
      <w:rFonts w:ascii="Calibri Light" w:eastAsia="Times New Roman" w:hAnsi="Calibri Light" w:cs="Times New Roman"/>
      <w:color w:val="2E74B5"/>
      <w:spacing w:val="-7"/>
      <w:sz w:val="80"/>
      <w:szCs w:val="80"/>
    </w:rPr>
  </w:style>
  <w:style w:type="paragraph" w:styleId="Subtitle">
    <w:name w:val="Subtitle"/>
    <w:basedOn w:val="Normal"/>
    <w:next w:val="Normal"/>
    <w:link w:val="SubtitleChar"/>
    <w:qFormat/>
    <w:rsid w:val="006B5CA3"/>
    <w:pPr>
      <w:numPr>
        <w:ilvl w:val="1"/>
      </w:numPr>
      <w:bidi w:val="0"/>
      <w:spacing w:after="240" w:line="240" w:lineRule="auto"/>
    </w:pPr>
    <w:rPr>
      <w:rFonts w:ascii="Calibri Light" w:eastAsia="Times New Roman" w:hAnsi="Calibri Light" w:cs="Times New Roman"/>
      <w:noProof w:val="0"/>
      <w:color w:val="404040"/>
      <w:sz w:val="30"/>
      <w:szCs w:val="30"/>
      <w:lang w:bidi="ar-SA"/>
    </w:rPr>
  </w:style>
  <w:style w:type="character" w:customStyle="1" w:styleId="SubtitleChar">
    <w:name w:val="Subtitle Char"/>
    <w:basedOn w:val="DefaultParagraphFont"/>
    <w:link w:val="Subtitle"/>
    <w:rsid w:val="006B5CA3"/>
    <w:rPr>
      <w:rFonts w:ascii="Calibri Light" w:eastAsia="Times New Roman" w:hAnsi="Calibri Light" w:cs="Times New Roman"/>
      <w:color w:val="404040"/>
      <w:sz w:val="30"/>
      <w:szCs w:val="30"/>
    </w:rPr>
  </w:style>
  <w:style w:type="character" w:styleId="Strong">
    <w:name w:val="Strong"/>
    <w:uiPriority w:val="22"/>
    <w:qFormat/>
    <w:rsid w:val="006B5CA3"/>
    <w:rPr>
      <w:b/>
      <w:bCs/>
    </w:rPr>
  </w:style>
  <w:style w:type="character" w:styleId="Emphasis">
    <w:name w:val="Emphasis"/>
    <w:uiPriority w:val="20"/>
    <w:qFormat/>
    <w:rsid w:val="006B5CA3"/>
    <w:rPr>
      <w:i/>
      <w:iCs/>
    </w:rPr>
  </w:style>
  <w:style w:type="paragraph" w:styleId="NoSpacing">
    <w:name w:val="No Spacing"/>
    <w:uiPriority w:val="1"/>
    <w:qFormat/>
    <w:rsid w:val="006B5CA3"/>
    <w:pPr>
      <w:spacing w:after="0" w:line="240" w:lineRule="auto"/>
    </w:pPr>
    <w:rPr>
      <w:rFonts w:ascii="Calibri" w:eastAsia="Times New Roman" w:hAnsi="Calibri" w:cs="Arial"/>
      <w:sz w:val="21"/>
      <w:szCs w:val="21"/>
    </w:rPr>
  </w:style>
  <w:style w:type="paragraph" w:styleId="Quote">
    <w:name w:val="Quote"/>
    <w:basedOn w:val="Normal"/>
    <w:next w:val="Normal"/>
    <w:link w:val="QuoteChar"/>
    <w:uiPriority w:val="29"/>
    <w:qFormat/>
    <w:rsid w:val="006B5CA3"/>
    <w:pPr>
      <w:bidi w:val="0"/>
      <w:spacing w:before="240" w:after="240" w:line="252" w:lineRule="auto"/>
      <w:ind w:left="864" w:right="864"/>
      <w:jc w:val="center"/>
    </w:pPr>
    <w:rPr>
      <w:rFonts w:eastAsia="Times New Roman"/>
      <w:i/>
      <w:iCs/>
      <w:noProof w:val="0"/>
      <w:sz w:val="21"/>
      <w:szCs w:val="21"/>
      <w:lang w:bidi="ar-SA"/>
    </w:rPr>
  </w:style>
  <w:style w:type="character" w:customStyle="1" w:styleId="QuoteChar">
    <w:name w:val="Quote Char"/>
    <w:basedOn w:val="DefaultParagraphFont"/>
    <w:link w:val="Quote"/>
    <w:uiPriority w:val="29"/>
    <w:rsid w:val="006B5CA3"/>
    <w:rPr>
      <w:rFonts w:ascii="Calibri" w:eastAsia="Times New Roman" w:hAnsi="Calibri" w:cs="Arial"/>
      <w:i/>
      <w:iCs/>
      <w:sz w:val="21"/>
      <w:szCs w:val="21"/>
    </w:rPr>
  </w:style>
  <w:style w:type="paragraph" w:styleId="IntenseQuote">
    <w:name w:val="Intense Quote"/>
    <w:basedOn w:val="Normal"/>
    <w:next w:val="Normal"/>
    <w:link w:val="IntenseQuoteChar"/>
    <w:uiPriority w:val="30"/>
    <w:qFormat/>
    <w:rsid w:val="006B5CA3"/>
    <w:pPr>
      <w:bidi w:val="0"/>
      <w:spacing w:before="100" w:beforeAutospacing="1" w:after="240" w:line="264" w:lineRule="auto"/>
      <w:ind w:left="864" w:right="864"/>
      <w:jc w:val="center"/>
    </w:pPr>
    <w:rPr>
      <w:rFonts w:ascii="Calibri Light" w:eastAsia="Times New Roman" w:hAnsi="Calibri Light" w:cs="Times New Roman"/>
      <w:noProof w:val="0"/>
      <w:color w:val="5B9BD5"/>
      <w:sz w:val="28"/>
      <w:szCs w:val="28"/>
      <w:lang w:bidi="ar-SA"/>
    </w:rPr>
  </w:style>
  <w:style w:type="character" w:customStyle="1" w:styleId="IntenseQuoteChar">
    <w:name w:val="Intense Quote Char"/>
    <w:basedOn w:val="DefaultParagraphFont"/>
    <w:link w:val="IntenseQuote"/>
    <w:uiPriority w:val="30"/>
    <w:rsid w:val="006B5CA3"/>
    <w:rPr>
      <w:rFonts w:ascii="Calibri Light" w:eastAsia="Times New Roman" w:hAnsi="Calibri Light" w:cs="Times New Roman"/>
      <w:color w:val="5B9BD5"/>
      <w:sz w:val="28"/>
      <w:szCs w:val="28"/>
    </w:rPr>
  </w:style>
  <w:style w:type="character" w:styleId="SubtleEmphasis">
    <w:name w:val="Subtle Emphasis"/>
    <w:uiPriority w:val="19"/>
    <w:qFormat/>
    <w:rsid w:val="006B5CA3"/>
    <w:rPr>
      <w:i/>
      <w:iCs/>
      <w:color w:val="595959"/>
    </w:rPr>
  </w:style>
  <w:style w:type="character" w:styleId="IntenseEmphasis">
    <w:name w:val="Intense Emphasis"/>
    <w:uiPriority w:val="21"/>
    <w:qFormat/>
    <w:rsid w:val="006B5CA3"/>
    <w:rPr>
      <w:b/>
      <w:bCs/>
      <w:i/>
      <w:iCs/>
    </w:rPr>
  </w:style>
  <w:style w:type="character" w:styleId="SubtleReference">
    <w:name w:val="Subtle Reference"/>
    <w:uiPriority w:val="31"/>
    <w:qFormat/>
    <w:rsid w:val="006B5CA3"/>
    <w:rPr>
      <w:smallCaps/>
      <w:color w:val="404040"/>
    </w:rPr>
  </w:style>
  <w:style w:type="character" w:styleId="IntenseReference">
    <w:name w:val="Intense Reference"/>
    <w:uiPriority w:val="32"/>
    <w:qFormat/>
    <w:rsid w:val="006B5CA3"/>
    <w:rPr>
      <w:b/>
      <w:bCs/>
      <w:smallCaps/>
      <w:u w:val="single"/>
    </w:rPr>
  </w:style>
  <w:style w:type="character" w:styleId="BookTitle">
    <w:name w:val="Book Title"/>
    <w:uiPriority w:val="33"/>
    <w:qFormat/>
    <w:rsid w:val="006B5CA3"/>
    <w:rPr>
      <w:b/>
      <w:bCs/>
      <w:smallCaps/>
    </w:rPr>
  </w:style>
  <w:style w:type="paragraph" w:styleId="TOCHeading">
    <w:name w:val="TOC Heading"/>
    <w:basedOn w:val="Heading1"/>
    <w:next w:val="Normal"/>
    <w:uiPriority w:val="39"/>
    <w:semiHidden/>
    <w:unhideWhenUsed/>
    <w:qFormat/>
    <w:rsid w:val="006B5CA3"/>
    <w:pPr>
      <w:outlineLvl w:val="9"/>
    </w:pPr>
  </w:style>
  <w:style w:type="table" w:customStyle="1" w:styleId="TableNormal0">
    <w:name w:val="TableNormal"/>
    <w:rsid w:val="006B5CA3"/>
    <w:rPr>
      <w:rFonts w:ascii="Calibri" w:eastAsia="Calibri" w:hAnsi="Calibri" w:cs="Calibri"/>
      <w:lang w:val="en"/>
    </w:rPr>
    <w:tblPr>
      <w:tblCellMar>
        <w:top w:w="100" w:type="dxa"/>
        <w:left w:w="100" w:type="dxa"/>
        <w:bottom w:w="100" w:type="dxa"/>
        <w:right w:w="100" w:type="dxa"/>
      </w:tblCellMar>
    </w:tblPr>
  </w:style>
  <w:style w:type="paragraph" w:styleId="NormalWeb">
    <w:name w:val="Normal (Web)"/>
    <w:basedOn w:val="Normal"/>
    <w:uiPriority w:val="99"/>
    <w:semiHidden/>
    <w:unhideWhenUsed/>
    <w:rsid w:val="006B5CA3"/>
    <w:pPr>
      <w:bidi w:val="0"/>
      <w:spacing w:before="100" w:beforeAutospacing="1" w:after="100" w:afterAutospacing="1" w:line="240" w:lineRule="auto"/>
    </w:pPr>
    <w:rPr>
      <w:rFonts w:ascii="Times New Roman" w:eastAsia="Times New Roman" w:hAnsi="Times New Roman" w:cs="Times New Roman"/>
      <w:noProof w:val="0"/>
      <w:sz w:val="24"/>
      <w:szCs w:val="24"/>
      <w:lang w:bidi="ar-SA"/>
    </w:rPr>
  </w:style>
  <w:style w:type="character" w:styleId="UnresolvedMention">
    <w:name w:val="Unresolved Mention"/>
    <w:basedOn w:val="DefaultParagraphFont"/>
    <w:uiPriority w:val="99"/>
    <w:semiHidden/>
    <w:unhideWhenUsed/>
    <w:rsid w:val="001F2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93750">
      <w:bodyDiv w:val="1"/>
      <w:marLeft w:val="0"/>
      <w:marRight w:val="0"/>
      <w:marTop w:val="0"/>
      <w:marBottom w:val="0"/>
      <w:divBdr>
        <w:top w:val="none" w:sz="0" w:space="0" w:color="auto"/>
        <w:left w:val="none" w:sz="0" w:space="0" w:color="auto"/>
        <w:bottom w:val="none" w:sz="0" w:space="0" w:color="auto"/>
        <w:right w:val="none" w:sz="0" w:space="0" w:color="auto"/>
      </w:divBdr>
    </w:div>
    <w:div w:id="1425222158">
      <w:bodyDiv w:val="1"/>
      <w:marLeft w:val="0"/>
      <w:marRight w:val="0"/>
      <w:marTop w:val="0"/>
      <w:marBottom w:val="0"/>
      <w:divBdr>
        <w:top w:val="none" w:sz="0" w:space="0" w:color="auto"/>
        <w:left w:val="none" w:sz="0" w:space="0" w:color="auto"/>
        <w:bottom w:val="none" w:sz="0" w:space="0" w:color="auto"/>
        <w:right w:val="none" w:sz="0" w:space="0" w:color="auto"/>
      </w:divBdr>
    </w:div>
    <w:div w:id="1488592292">
      <w:bodyDiv w:val="1"/>
      <w:marLeft w:val="0"/>
      <w:marRight w:val="0"/>
      <w:marTop w:val="0"/>
      <w:marBottom w:val="0"/>
      <w:divBdr>
        <w:top w:val="none" w:sz="0" w:space="0" w:color="auto"/>
        <w:left w:val="none" w:sz="0" w:space="0" w:color="auto"/>
        <w:bottom w:val="none" w:sz="0" w:space="0" w:color="auto"/>
        <w:right w:val="none" w:sz="0" w:space="0" w:color="auto"/>
      </w:divBdr>
    </w:div>
    <w:div w:id="1645744322">
      <w:bodyDiv w:val="1"/>
      <w:marLeft w:val="0"/>
      <w:marRight w:val="0"/>
      <w:marTop w:val="0"/>
      <w:marBottom w:val="0"/>
      <w:divBdr>
        <w:top w:val="none" w:sz="0" w:space="0" w:color="auto"/>
        <w:left w:val="none" w:sz="0" w:space="0" w:color="auto"/>
        <w:bottom w:val="none" w:sz="0" w:space="0" w:color="auto"/>
        <w:right w:val="none" w:sz="0" w:space="0" w:color="auto"/>
      </w:divBdr>
    </w:div>
    <w:div w:id="1667703245">
      <w:bodyDiv w:val="1"/>
      <w:marLeft w:val="0"/>
      <w:marRight w:val="0"/>
      <w:marTop w:val="0"/>
      <w:marBottom w:val="0"/>
      <w:divBdr>
        <w:top w:val="none" w:sz="0" w:space="0" w:color="auto"/>
        <w:left w:val="none" w:sz="0" w:space="0" w:color="auto"/>
        <w:bottom w:val="none" w:sz="0" w:space="0" w:color="auto"/>
        <w:right w:val="none" w:sz="0" w:space="0" w:color="auto"/>
      </w:divBdr>
    </w:div>
    <w:div w:id="211979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med12sh13@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9618-7508" TargetMode="External"/><Relationship Id="rId12" Type="http://schemas.openxmlformats.org/officeDocument/2006/relationships/hyperlink" Target="mailto:n.amouri@scu.ac.i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amed12sh13@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arch.eitaa.com/?url=https://(J.sadounzadeh@scu.ac.ir" TargetMode="External"/><Relationship Id="rId5" Type="http://schemas.openxmlformats.org/officeDocument/2006/relationships/footnotes" Target="footnotes.xml"/><Relationship Id="rId15" Type="http://schemas.openxmlformats.org/officeDocument/2006/relationships/hyperlink" Target="mailto:n.amouri@scu.ac.ir"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orcid.org/0000-0002-9180-1991" TargetMode="External"/><Relationship Id="rId14" Type="http://schemas.openxmlformats.org/officeDocument/2006/relationships/hyperlink" Target="https://search.eitaa.com/?url=https://(J.sadounzadeh@sc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7683</Words>
  <Characters>43797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dc:creator>
  <cp:keywords/>
  <dc:description/>
  <cp:lastModifiedBy>HAMED</cp:lastModifiedBy>
  <cp:revision>2</cp:revision>
  <dcterms:created xsi:type="dcterms:W3CDTF">2026-05-30T20:22:00Z</dcterms:created>
  <dcterms:modified xsi:type="dcterms:W3CDTF">2026-05-30T20:22:00Z</dcterms:modified>
</cp:coreProperties>
</file>