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F61D" w14:textId="77777777" w:rsidR="002E6E11" w:rsidRPr="00D345FD" w:rsidRDefault="002E6E11" w:rsidP="002E6E11">
      <w:pPr>
        <w:bidi/>
        <w:jc w:val="both"/>
        <w:rPr>
          <w:rFonts w:ascii="Traditional Arabic" w:hAnsi="Traditional Arabic" w:cs="Traditional Arabic"/>
          <w:b/>
          <w:bCs/>
          <w:sz w:val="28"/>
          <w:szCs w:val="28"/>
          <w:rtl/>
        </w:rPr>
      </w:pPr>
    </w:p>
    <w:p w14:paraId="014D6E83"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السلام عليكم ورحمة الله وبركاته،</w:t>
      </w:r>
    </w:p>
    <w:p w14:paraId="12953F01"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نتقدم بخالص الشكر والتقدير للمراجعين الكرام على تدقيقهم وملاحظاتهم القيمة والبناءة. لقد تم دراسة المقالة بعناية شديدة ومراجعتها بشكل دقيق، وقد تم تطبيق جميع الملاحظات والاقتراحات المقدمة من المراجعين في النسخة النهائية من المقالة. نود أن نوضح الردود على كل ملاحظة بشكل مفصل كما يلي</w:t>
      </w:r>
      <w:r w:rsidRPr="00D345FD">
        <w:rPr>
          <w:rFonts w:ascii="Traditional Arabic" w:hAnsi="Traditional Arabic" w:cs="Traditional Arabic"/>
          <w:b/>
          <w:bCs/>
          <w:sz w:val="28"/>
          <w:szCs w:val="28"/>
        </w:rPr>
        <w:t>:</w:t>
      </w:r>
    </w:p>
    <w:p w14:paraId="029ED1AD"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قسم النتائج والعناوين الفرعية</w:t>
      </w:r>
      <w:r w:rsidRPr="00D345FD">
        <w:rPr>
          <w:rFonts w:ascii="Traditional Arabic" w:hAnsi="Traditional Arabic" w:cs="Traditional Arabic"/>
          <w:b/>
          <w:bCs/>
          <w:sz w:val="28"/>
          <w:szCs w:val="28"/>
        </w:rPr>
        <w:t>:</w:t>
      </w:r>
    </w:p>
    <w:p w14:paraId="21DE7D54"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تم إجراء التعديلات اللازمة في قسم النتائج لتعزيز وضوحه ودقته، كما تم إعادة ترتيب العناوين الفرعية وتحسين ترقيمها من اليمين إلى اليسار، وذلك لضمان انسجام النص وسهولة القراءة</w:t>
      </w:r>
      <w:r w:rsidRPr="00D345FD">
        <w:rPr>
          <w:rFonts w:ascii="Traditional Arabic" w:hAnsi="Traditional Arabic" w:cs="Traditional Arabic"/>
          <w:b/>
          <w:bCs/>
          <w:sz w:val="28"/>
          <w:szCs w:val="28"/>
        </w:rPr>
        <w:t>.</w:t>
      </w:r>
    </w:p>
    <w:p w14:paraId="6F7AC66F"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اللغة والأسلوب</w:t>
      </w:r>
      <w:r w:rsidRPr="00D345FD">
        <w:rPr>
          <w:rFonts w:ascii="Traditional Arabic" w:hAnsi="Traditional Arabic" w:cs="Traditional Arabic"/>
          <w:b/>
          <w:bCs/>
          <w:sz w:val="28"/>
          <w:szCs w:val="28"/>
        </w:rPr>
        <w:t>:</w:t>
      </w:r>
    </w:p>
    <w:p w14:paraId="541B9163"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تم مراجعة الأسلوب اللغوي والقواعد النحوية بدقة، وتم تعديل جميع العبارات غير الواضحة أو الطويلة، بما في ذلك إعادة صياغة بعض الجمل لتكون أكثر وضوحاً وسلاسة</w:t>
      </w:r>
      <w:r w:rsidRPr="00D345FD">
        <w:rPr>
          <w:rFonts w:ascii="Traditional Arabic" w:hAnsi="Traditional Arabic" w:cs="Traditional Arabic"/>
          <w:b/>
          <w:bCs/>
          <w:sz w:val="28"/>
          <w:szCs w:val="28"/>
        </w:rPr>
        <w:t>.</w:t>
      </w:r>
    </w:p>
    <w:p w14:paraId="40A56B57"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تعزيز مكانة المرأة والمصطلحات</w:t>
      </w:r>
      <w:r w:rsidRPr="00D345FD">
        <w:rPr>
          <w:rFonts w:ascii="Traditional Arabic" w:hAnsi="Traditional Arabic" w:cs="Traditional Arabic"/>
          <w:b/>
          <w:bCs/>
          <w:sz w:val="28"/>
          <w:szCs w:val="28"/>
        </w:rPr>
        <w:t>:</w:t>
      </w:r>
    </w:p>
    <w:p w14:paraId="2513C36C"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تم دراسة المقالات والمراجع الموصى بها من قبل المراجع الأول واستخدامها لدعم المقالة الحالية. كما تم إجراء التعديلات اللازمة على اللغة لتعزيز التأكيد على مكانة المرأة، وتم توحيد جميع المصطلحات المستخدمة المتعلقة بالموضوع لتكون دقيقة ومتسقة في جميع أجزاء المقالة</w:t>
      </w:r>
      <w:r w:rsidRPr="00D345FD">
        <w:rPr>
          <w:rFonts w:ascii="Traditional Arabic" w:hAnsi="Traditional Arabic" w:cs="Traditional Arabic"/>
          <w:b/>
          <w:bCs/>
          <w:sz w:val="28"/>
          <w:szCs w:val="28"/>
        </w:rPr>
        <w:t>.</w:t>
      </w:r>
    </w:p>
    <w:p w14:paraId="023CBF69"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التحسينات النحوية والأسلوبية</w:t>
      </w:r>
      <w:r w:rsidRPr="00D345FD">
        <w:rPr>
          <w:rFonts w:ascii="Traditional Arabic" w:hAnsi="Traditional Arabic" w:cs="Traditional Arabic"/>
          <w:b/>
          <w:bCs/>
          <w:sz w:val="28"/>
          <w:szCs w:val="28"/>
        </w:rPr>
        <w:t>:</w:t>
      </w:r>
    </w:p>
    <w:p w14:paraId="6F87C2F5"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تم تصحيح جميع الأخطاء النحوية والأسلوبية الموجودة في المقالة، وتمت مراجعة النص بالكامل لضمان وضوح وسلاسة الجمل، مع تحسين الربط بين الفقرات والأفكار</w:t>
      </w:r>
      <w:r w:rsidRPr="00D345FD">
        <w:rPr>
          <w:rFonts w:ascii="Traditional Arabic" w:hAnsi="Traditional Arabic" w:cs="Traditional Arabic"/>
          <w:b/>
          <w:bCs/>
          <w:sz w:val="28"/>
          <w:szCs w:val="28"/>
        </w:rPr>
        <w:t>.</w:t>
      </w:r>
    </w:p>
    <w:p w14:paraId="464F2A77"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المقدمة والإطار النظري</w:t>
      </w:r>
      <w:r w:rsidRPr="00D345FD">
        <w:rPr>
          <w:rFonts w:ascii="Traditional Arabic" w:hAnsi="Traditional Arabic" w:cs="Traditional Arabic"/>
          <w:b/>
          <w:bCs/>
          <w:sz w:val="28"/>
          <w:szCs w:val="28"/>
        </w:rPr>
        <w:t>:</w:t>
      </w:r>
    </w:p>
    <w:p w14:paraId="661CF291"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تم تقليل طول المقدمة والإطار النظري بحيث يركز المقال على التحليل التطبيقي بشكل أكبر، مع الحفاظ على الخلفية العلمية الضرورية لفهم موضوع البحث</w:t>
      </w:r>
      <w:r w:rsidRPr="00D345FD">
        <w:rPr>
          <w:rFonts w:ascii="Traditional Arabic" w:hAnsi="Traditional Arabic" w:cs="Traditional Arabic"/>
          <w:b/>
          <w:bCs/>
          <w:sz w:val="28"/>
          <w:szCs w:val="28"/>
        </w:rPr>
        <w:t>.</w:t>
      </w:r>
    </w:p>
    <w:p w14:paraId="7F928E9F"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التحليل التطبيقي والمجتمع العماني</w:t>
      </w:r>
      <w:r w:rsidRPr="00D345FD">
        <w:rPr>
          <w:rFonts w:ascii="Traditional Arabic" w:hAnsi="Traditional Arabic" w:cs="Traditional Arabic"/>
          <w:b/>
          <w:bCs/>
          <w:sz w:val="28"/>
          <w:szCs w:val="28"/>
        </w:rPr>
        <w:t>:</w:t>
      </w:r>
    </w:p>
    <w:p w14:paraId="347663D2"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lastRenderedPageBreak/>
        <w:t>تم تعزيز قسم التحليل التطبيقي وإضافة مزيد من الأمثلة والشرح التفصيلي، مع التأكيد على الخصائص الثقافية والاجتماعية للمرأة في المجتمع العماني، لتوضيح خصوصية السياق المحلي وتأثيره على موضوع البحث</w:t>
      </w:r>
      <w:r w:rsidRPr="00D345FD">
        <w:rPr>
          <w:rFonts w:ascii="Traditional Arabic" w:hAnsi="Traditional Arabic" w:cs="Traditional Arabic"/>
          <w:b/>
          <w:bCs/>
          <w:sz w:val="28"/>
          <w:szCs w:val="28"/>
        </w:rPr>
        <w:t>.</w:t>
      </w:r>
    </w:p>
    <w:p w14:paraId="3CE04515"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توضيح الكاتبة والظروف الاجتماعية</w:t>
      </w:r>
      <w:r w:rsidRPr="00D345FD">
        <w:rPr>
          <w:rFonts w:ascii="Traditional Arabic" w:hAnsi="Traditional Arabic" w:cs="Traditional Arabic"/>
          <w:b/>
          <w:bCs/>
          <w:sz w:val="28"/>
          <w:szCs w:val="28"/>
        </w:rPr>
        <w:t>:</w:t>
      </w:r>
    </w:p>
    <w:p w14:paraId="02C70FA6"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تم إضافة فقرة تعريفية بالكاتبة وشرح الوضع الثقافي والاجتماعي للمرأة في المجتمع العماني، مما يزيد من فهم القارئ للسياق الثقافي الذي تناقشه المقالة</w:t>
      </w:r>
      <w:r w:rsidRPr="00D345FD">
        <w:rPr>
          <w:rFonts w:ascii="Traditional Arabic" w:hAnsi="Traditional Arabic" w:cs="Traditional Arabic"/>
          <w:b/>
          <w:bCs/>
          <w:sz w:val="28"/>
          <w:szCs w:val="28"/>
        </w:rPr>
        <w:t>.</w:t>
      </w:r>
    </w:p>
    <w:p w14:paraId="29AFFEB1"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قسم النتائج والتحليلات</w:t>
      </w:r>
      <w:r w:rsidRPr="00D345FD">
        <w:rPr>
          <w:rFonts w:ascii="Traditional Arabic" w:hAnsi="Traditional Arabic" w:cs="Traditional Arabic"/>
          <w:b/>
          <w:bCs/>
          <w:sz w:val="28"/>
          <w:szCs w:val="28"/>
        </w:rPr>
        <w:t>:</w:t>
      </w:r>
    </w:p>
    <w:p w14:paraId="5FCA864C"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تم إعادة صياغة قسم النتائج بشكل كامل، بحيث تم الانتقال من مجرد تلخيص الأحداث إلى تقديم تحليلات معمقة ومدعومة بالأدلة. كما تم تحسين لغة المقالة في هذا القسم لتكون أكثر وضوحاً واحترافية، مع التأكيد على الربط بين النتائج والأسئلة البحثية المطروحة في المقالة</w:t>
      </w:r>
      <w:r w:rsidRPr="00D345FD">
        <w:rPr>
          <w:rFonts w:ascii="Traditional Arabic" w:hAnsi="Traditional Arabic" w:cs="Traditional Arabic"/>
          <w:b/>
          <w:bCs/>
          <w:sz w:val="28"/>
          <w:szCs w:val="28"/>
        </w:rPr>
        <w:t>.</w:t>
      </w:r>
    </w:p>
    <w:p w14:paraId="778EF2B7" w14:textId="77777777" w:rsidR="002E6E11" w:rsidRPr="00D345FD" w:rsidRDefault="002E6E11" w:rsidP="002E6E11">
      <w:pPr>
        <w:bidi/>
        <w:jc w:val="both"/>
        <w:rPr>
          <w:rFonts w:ascii="Traditional Arabic" w:hAnsi="Traditional Arabic" w:cs="Traditional Arabic"/>
          <w:b/>
          <w:bCs/>
          <w:sz w:val="28"/>
          <w:szCs w:val="28"/>
          <w:rtl/>
        </w:rPr>
      </w:pPr>
      <w:r w:rsidRPr="00D345FD">
        <w:rPr>
          <w:rFonts w:ascii="Traditional Arabic" w:hAnsi="Traditional Arabic" w:cs="Traditional Arabic"/>
          <w:b/>
          <w:bCs/>
          <w:sz w:val="28"/>
          <w:szCs w:val="28"/>
          <w:rtl/>
        </w:rPr>
        <w:t>التوضيحات العامة</w:t>
      </w:r>
      <w:r w:rsidRPr="00D345FD">
        <w:rPr>
          <w:rFonts w:ascii="Traditional Arabic" w:hAnsi="Traditional Arabic" w:cs="Traditional Arabic"/>
          <w:b/>
          <w:bCs/>
          <w:sz w:val="28"/>
          <w:szCs w:val="28"/>
        </w:rPr>
        <w:t>:</w:t>
      </w:r>
    </w:p>
    <w:p w14:paraId="42023FE8" w14:textId="77777777" w:rsidR="002E6E11" w:rsidRDefault="002E6E11" w:rsidP="002E6E11">
      <w:pPr>
        <w:bidi/>
        <w:jc w:val="both"/>
        <w:rPr>
          <w:rFonts w:ascii="Traditional Arabic" w:hAnsi="Traditional Arabic" w:cs="Traditional Arabic"/>
          <w:b/>
          <w:bCs/>
          <w:sz w:val="28"/>
          <w:szCs w:val="28"/>
          <w:rtl/>
          <w:lang w:bidi="fa-IR"/>
        </w:rPr>
      </w:pPr>
      <w:r w:rsidRPr="00D345FD">
        <w:rPr>
          <w:rFonts w:ascii="Traditional Arabic" w:hAnsi="Traditional Arabic" w:cs="Traditional Arabic"/>
          <w:b/>
          <w:bCs/>
          <w:sz w:val="28"/>
          <w:szCs w:val="28"/>
          <w:rtl/>
        </w:rPr>
        <w:t>تم استلام الملفات المعدلة لكلا الم</w:t>
      </w:r>
      <w:r>
        <w:rPr>
          <w:rFonts w:ascii="Traditional Arabic" w:hAnsi="Traditional Arabic" w:cs="Traditional Arabic" w:hint="cs"/>
          <w:b/>
          <w:bCs/>
          <w:sz w:val="28"/>
          <w:szCs w:val="28"/>
          <w:rtl/>
        </w:rPr>
        <w:t>حکمين</w:t>
      </w:r>
      <w:r w:rsidRPr="00D345FD">
        <w:rPr>
          <w:rFonts w:ascii="Traditional Arabic" w:hAnsi="Traditional Arabic" w:cs="Traditional Arabic"/>
          <w:b/>
          <w:bCs/>
          <w:sz w:val="28"/>
          <w:szCs w:val="28"/>
          <w:rtl/>
        </w:rPr>
        <w:t xml:space="preserve">، وقد تم تطبيق جميع التعديلات اللازمة وفقًا لملاحظات </w:t>
      </w:r>
      <w:r>
        <w:rPr>
          <w:rFonts w:ascii="Traditional Arabic" w:hAnsi="Traditional Arabic" w:cs="Traditional Arabic" w:hint="cs"/>
          <w:b/>
          <w:bCs/>
          <w:sz w:val="28"/>
          <w:szCs w:val="28"/>
          <w:rtl/>
        </w:rPr>
        <w:t>الم</w:t>
      </w:r>
      <w:r>
        <w:rPr>
          <w:rFonts w:ascii="Traditional Arabic" w:hAnsi="Traditional Arabic" w:cs="Traditional Arabic" w:hint="cs"/>
          <w:b/>
          <w:bCs/>
          <w:sz w:val="28"/>
          <w:szCs w:val="28"/>
          <w:rtl/>
          <w:lang w:bidi="ar-IQ"/>
        </w:rPr>
        <w:t>حكمين</w:t>
      </w:r>
      <w:r>
        <w:rPr>
          <w:rFonts w:ascii="Traditional Arabic" w:hAnsi="Traditional Arabic" w:cs="Traditional Arabic" w:hint="cs"/>
          <w:b/>
          <w:bCs/>
          <w:sz w:val="28"/>
          <w:szCs w:val="28"/>
          <w:rtl/>
          <w:lang w:bidi="fa-IR"/>
        </w:rPr>
        <w:t>.</w:t>
      </w:r>
    </w:p>
    <w:p w14:paraId="6B5A70A2" w14:textId="77777777" w:rsidR="002E6E11" w:rsidRDefault="002E6E11" w:rsidP="002E6E11">
      <w:pPr>
        <w:bidi/>
        <w:jc w:val="both"/>
        <w:rPr>
          <w:rFonts w:ascii="Traditional Arabic" w:hAnsi="Traditional Arabic" w:cs="Traditional Arabic"/>
          <w:b/>
          <w:bCs/>
          <w:sz w:val="28"/>
          <w:szCs w:val="28"/>
          <w:rtl/>
        </w:rPr>
      </w:pPr>
    </w:p>
    <w:p w14:paraId="079FF064" w14:textId="77777777" w:rsidR="002E6E11" w:rsidRDefault="002E6E11" w:rsidP="002E6E11">
      <w:pPr>
        <w:bidi/>
        <w:jc w:val="both"/>
        <w:rPr>
          <w:rFonts w:ascii="Traditional Arabic" w:hAnsi="Traditional Arabic" w:cs="Traditional Arabic"/>
          <w:b/>
          <w:bCs/>
          <w:sz w:val="28"/>
          <w:szCs w:val="28"/>
          <w:rtl/>
        </w:rPr>
      </w:pPr>
    </w:p>
    <w:p w14:paraId="1DD5D16C" w14:textId="77777777" w:rsidR="002E6E11" w:rsidRDefault="002E6E11" w:rsidP="002E6E11">
      <w:pPr>
        <w:bidi/>
        <w:jc w:val="both"/>
        <w:rPr>
          <w:rFonts w:ascii="Traditional Arabic" w:hAnsi="Traditional Arabic" w:cs="Traditional Arabic"/>
          <w:b/>
          <w:bCs/>
          <w:sz w:val="28"/>
          <w:szCs w:val="28"/>
          <w:rtl/>
        </w:rPr>
      </w:pPr>
    </w:p>
    <w:p w14:paraId="2ECFCC57" w14:textId="77777777" w:rsidR="002E6E11" w:rsidRDefault="002E6E11" w:rsidP="002E6E11">
      <w:pPr>
        <w:bidi/>
        <w:jc w:val="both"/>
        <w:rPr>
          <w:rFonts w:ascii="Traditional Arabic" w:hAnsi="Traditional Arabic" w:cs="Traditional Arabic"/>
          <w:b/>
          <w:bCs/>
          <w:sz w:val="28"/>
          <w:szCs w:val="28"/>
          <w:rtl/>
        </w:rPr>
      </w:pPr>
    </w:p>
    <w:p w14:paraId="74DEF09B" w14:textId="77777777" w:rsidR="002E6E11" w:rsidRDefault="002E6E11" w:rsidP="002E6E11">
      <w:pPr>
        <w:bidi/>
        <w:jc w:val="both"/>
        <w:rPr>
          <w:rFonts w:ascii="Traditional Arabic" w:hAnsi="Traditional Arabic" w:cs="Traditional Arabic"/>
          <w:b/>
          <w:bCs/>
          <w:sz w:val="28"/>
          <w:szCs w:val="28"/>
          <w:rtl/>
        </w:rPr>
      </w:pPr>
    </w:p>
    <w:p w14:paraId="27C163B2" w14:textId="77777777" w:rsidR="002E6E11" w:rsidRDefault="002E6E11" w:rsidP="002E6E11">
      <w:pPr>
        <w:bidi/>
        <w:jc w:val="both"/>
        <w:rPr>
          <w:rFonts w:ascii="Traditional Arabic" w:hAnsi="Traditional Arabic" w:cs="Traditional Arabic"/>
          <w:b/>
          <w:bCs/>
          <w:sz w:val="28"/>
          <w:szCs w:val="28"/>
          <w:rtl/>
        </w:rPr>
      </w:pPr>
    </w:p>
    <w:p w14:paraId="411A6108" w14:textId="77777777" w:rsidR="002E6E11" w:rsidRDefault="002E6E11" w:rsidP="002E6E11">
      <w:pPr>
        <w:bidi/>
        <w:jc w:val="both"/>
        <w:rPr>
          <w:rFonts w:ascii="Traditional Arabic" w:hAnsi="Traditional Arabic" w:cs="Traditional Arabic"/>
          <w:b/>
          <w:bCs/>
          <w:sz w:val="28"/>
          <w:szCs w:val="28"/>
          <w:rtl/>
        </w:rPr>
      </w:pPr>
    </w:p>
    <w:p w14:paraId="2C0940AE" w14:textId="77777777" w:rsidR="002E6E11" w:rsidRDefault="002E6E11" w:rsidP="002E6E11">
      <w:pPr>
        <w:bidi/>
        <w:jc w:val="both"/>
        <w:rPr>
          <w:rFonts w:ascii="Traditional Arabic" w:hAnsi="Traditional Arabic" w:cs="Traditional Arabic"/>
          <w:b/>
          <w:bCs/>
          <w:sz w:val="28"/>
          <w:szCs w:val="28"/>
          <w:rtl/>
        </w:rPr>
      </w:pPr>
    </w:p>
    <w:p w14:paraId="7A0325B4" w14:textId="77777777" w:rsidR="002E6E11" w:rsidRPr="007B0634" w:rsidRDefault="002E6E11" w:rsidP="002E6E11">
      <w:pPr>
        <w:bidi/>
        <w:jc w:val="both"/>
        <w:rPr>
          <w:rFonts w:ascii="Traditional Arabic" w:hAnsi="Traditional Arabic" w:cs="Traditional Arabic"/>
          <w:b/>
          <w:bCs/>
          <w:sz w:val="28"/>
          <w:szCs w:val="28"/>
          <w:rtl/>
        </w:rPr>
      </w:pPr>
    </w:p>
    <w:p w14:paraId="65CA6A11" w14:textId="3C2689B9" w:rsidR="002E6E11" w:rsidRPr="007B0634" w:rsidRDefault="002E6E11" w:rsidP="002E6E11">
      <w:pPr>
        <w:pStyle w:val="ds-markdown-paragraph"/>
        <w:shd w:val="clear" w:color="auto" w:fill="FFFFFF"/>
        <w:spacing w:before="0" w:beforeAutospacing="0" w:after="240" w:afterAutospacing="0"/>
        <w:jc w:val="both"/>
        <w:rPr>
          <w:rFonts w:asciiTheme="majorBidi" w:hAnsiTheme="majorBidi" w:cstheme="majorBidi"/>
          <w:color w:val="0F1115"/>
          <w:sz w:val="32"/>
          <w:szCs w:val="32"/>
        </w:rPr>
      </w:pPr>
      <w:r w:rsidRPr="007B0634">
        <w:rPr>
          <w:rStyle w:val="Strong"/>
          <w:rFonts w:asciiTheme="majorBidi" w:eastAsiaTheme="majorEastAsia" w:hAnsiTheme="majorBidi" w:cstheme="majorBidi"/>
          <w:color w:val="0F1115"/>
          <w:sz w:val="32"/>
          <w:szCs w:val="32"/>
        </w:rPr>
        <w:lastRenderedPageBreak/>
        <w:t>The Application of Elaine Showalter's Theory of "Women's Writing" in Huda Hamad's Novel </w:t>
      </w:r>
      <w:proofErr w:type="spellStart"/>
      <w:r w:rsidRPr="007B0634">
        <w:rPr>
          <w:rStyle w:val="Emphasis"/>
          <w:rFonts w:asciiTheme="majorBidi" w:eastAsiaTheme="majorEastAsia" w:hAnsiTheme="majorBidi" w:cstheme="majorBidi"/>
          <w:b/>
          <w:bCs/>
          <w:color w:val="0F1115"/>
          <w:sz w:val="32"/>
          <w:szCs w:val="32"/>
        </w:rPr>
        <w:t>Cinderellat</w:t>
      </w:r>
      <w:proofErr w:type="spellEnd"/>
      <w:r w:rsidRPr="007B0634">
        <w:rPr>
          <w:rStyle w:val="Emphasis"/>
          <w:rFonts w:asciiTheme="majorBidi" w:eastAsiaTheme="majorEastAsia" w:hAnsiTheme="majorBidi" w:cstheme="majorBidi"/>
          <w:b/>
          <w:bCs/>
          <w:color w:val="0F1115"/>
          <w:sz w:val="32"/>
          <w:szCs w:val="32"/>
        </w:rPr>
        <w:t xml:space="preserve"> Muscat</w:t>
      </w:r>
      <w:r>
        <w:rPr>
          <w:rStyle w:val="FootnoteReference"/>
          <w:rFonts w:asciiTheme="majorBidi" w:eastAsiaTheme="majorEastAsia" w:hAnsiTheme="majorBidi" w:cstheme="majorBidi"/>
          <w:b/>
          <w:bCs/>
          <w:i/>
          <w:iCs/>
          <w:color w:val="0F1115"/>
          <w:sz w:val="32"/>
          <w:szCs w:val="32"/>
        </w:rPr>
        <w:footnoteReference w:id="1"/>
      </w:r>
    </w:p>
    <w:p w14:paraId="2153FBCC" w14:textId="77777777" w:rsidR="002E6E11" w:rsidRPr="007B0634" w:rsidRDefault="002E6E11" w:rsidP="002E6E11">
      <w:pPr>
        <w:pStyle w:val="ds-markdown-paragraph"/>
        <w:shd w:val="clear" w:color="auto" w:fill="FFFFFF"/>
        <w:spacing w:before="240" w:beforeAutospacing="0" w:after="240" w:afterAutospacing="0"/>
        <w:jc w:val="both"/>
        <w:rPr>
          <w:rFonts w:asciiTheme="majorBidi" w:hAnsiTheme="majorBidi" w:cstheme="majorBidi"/>
          <w:color w:val="0F1115"/>
          <w:sz w:val="28"/>
          <w:szCs w:val="28"/>
        </w:rPr>
      </w:pPr>
      <w:r w:rsidRPr="007B0634">
        <w:rPr>
          <w:rFonts w:asciiTheme="majorBidi" w:hAnsiTheme="majorBidi" w:cstheme="majorBidi"/>
          <w:color w:val="0F1115"/>
          <w:sz w:val="28"/>
          <w:szCs w:val="28"/>
        </w:rPr>
        <w:t>Feminist criticism, as an analytical approach in literary studies, focuses on the position of women within social structures, seeking to expose gender inequalities and encourage the redefinition of power relations. The novel </w:t>
      </w:r>
      <w:proofErr w:type="spellStart"/>
      <w:r w:rsidRPr="007B0634">
        <w:rPr>
          <w:rStyle w:val="Emphasis"/>
          <w:rFonts w:asciiTheme="majorBidi" w:eastAsiaTheme="majorEastAsia" w:hAnsiTheme="majorBidi" w:cstheme="majorBidi"/>
          <w:color w:val="0F1115"/>
          <w:sz w:val="28"/>
          <w:szCs w:val="28"/>
        </w:rPr>
        <w:t>Cinderellat</w:t>
      </w:r>
      <w:proofErr w:type="spellEnd"/>
      <w:r w:rsidRPr="007B0634">
        <w:rPr>
          <w:rStyle w:val="Emphasis"/>
          <w:rFonts w:asciiTheme="majorBidi" w:eastAsiaTheme="majorEastAsia" w:hAnsiTheme="majorBidi" w:cstheme="majorBidi"/>
          <w:color w:val="0F1115"/>
          <w:sz w:val="28"/>
          <w:szCs w:val="28"/>
        </w:rPr>
        <w:t xml:space="preserve"> Muscat</w:t>
      </w:r>
      <w:r w:rsidRPr="007B0634">
        <w:rPr>
          <w:rFonts w:asciiTheme="majorBidi" w:hAnsiTheme="majorBidi" w:cstheme="majorBidi"/>
          <w:color w:val="0F1115"/>
          <w:sz w:val="28"/>
          <w:szCs w:val="28"/>
        </w:rPr>
        <w:t> by Huda Hamad, an Omani female author, depicts the ideology of patriarchal dominance in the family and society. This research, employing an analytical-descriptive approach, examines Huda Hamad's novel </w:t>
      </w:r>
      <w:proofErr w:type="spellStart"/>
      <w:r w:rsidRPr="007B0634">
        <w:rPr>
          <w:rStyle w:val="Emphasis"/>
          <w:rFonts w:asciiTheme="majorBidi" w:eastAsiaTheme="majorEastAsia" w:hAnsiTheme="majorBidi" w:cstheme="majorBidi"/>
          <w:color w:val="0F1115"/>
          <w:sz w:val="28"/>
          <w:szCs w:val="28"/>
        </w:rPr>
        <w:t>Cinderellat</w:t>
      </w:r>
      <w:proofErr w:type="spellEnd"/>
      <w:r w:rsidRPr="007B0634">
        <w:rPr>
          <w:rStyle w:val="Emphasis"/>
          <w:rFonts w:asciiTheme="majorBidi" w:eastAsiaTheme="majorEastAsia" w:hAnsiTheme="majorBidi" w:cstheme="majorBidi"/>
          <w:color w:val="0F1115"/>
          <w:sz w:val="28"/>
          <w:szCs w:val="28"/>
        </w:rPr>
        <w:t xml:space="preserve"> Muscat</w:t>
      </w:r>
      <w:r w:rsidRPr="007B0634">
        <w:rPr>
          <w:rFonts w:asciiTheme="majorBidi" w:hAnsiTheme="majorBidi" w:cstheme="majorBidi"/>
          <w:color w:val="0F1115"/>
          <w:sz w:val="28"/>
          <w:szCs w:val="28"/>
        </w:rPr>
        <w:t> within the framework of Elaine Showalter's three-phase theory. The aim of this analysis is to demonstrate how the historical path of the evolution of women's consciousness is manifested in this work, starting from the acceptance of traditional roles and reaching the final stage of independent identity formation.</w:t>
      </w:r>
    </w:p>
    <w:p w14:paraId="2DEF90FC" w14:textId="77777777" w:rsidR="002E6E11" w:rsidRPr="007B0634" w:rsidRDefault="002E6E11" w:rsidP="002E6E11">
      <w:pPr>
        <w:pStyle w:val="ds-markdown-paragraph"/>
        <w:shd w:val="clear" w:color="auto" w:fill="FFFFFF"/>
        <w:spacing w:before="240" w:beforeAutospacing="0" w:after="240" w:afterAutospacing="0"/>
        <w:jc w:val="both"/>
        <w:rPr>
          <w:rFonts w:asciiTheme="majorBidi" w:hAnsiTheme="majorBidi" w:cstheme="majorBidi"/>
          <w:color w:val="0F1115"/>
          <w:sz w:val="28"/>
          <w:szCs w:val="28"/>
        </w:rPr>
      </w:pPr>
      <w:r w:rsidRPr="007B0634">
        <w:rPr>
          <w:rFonts w:asciiTheme="majorBidi" w:hAnsiTheme="majorBidi" w:cstheme="majorBidi"/>
          <w:color w:val="0F1115"/>
          <w:sz w:val="28"/>
          <w:szCs w:val="28"/>
        </w:rPr>
        <w:t>The findings of the study indicate that the novel portrays the trajectory of women's development from the </w:t>
      </w:r>
      <w:r w:rsidRPr="007B0634">
        <w:rPr>
          <w:rStyle w:val="Emphasis"/>
          <w:rFonts w:asciiTheme="majorBidi" w:eastAsiaTheme="majorEastAsia" w:hAnsiTheme="majorBidi" w:cstheme="majorBidi"/>
          <w:color w:val="0F1115"/>
          <w:sz w:val="28"/>
          <w:szCs w:val="28"/>
        </w:rPr>
        <w:t>Feminine</w:t>
      </w:r>
      <w:r w:rsidRPr="007B0634">
        <w:rPr>
          <w:rFonts w:asciiTheme="majorBidi" w:hAnsiTheme="majorBidi" w:cstheme="majorBidi"/>
          <w:color w:val="0F1115"/>
          <w:sz w:val="28"/>
          <w:szCs w:val="28"/>
        </w:rPr>
        <w:t> stage of subordination and constraint, where characters are defined within patriarchal expectations, to the </w:t>
      </w:r>
      <w:r w:rsidRPr="007B0634">
        <w:rPr>
          <w:rStyle w:val="Emphasis"/>
          <w:rFonts w:asciiTheme="majorBidi" w:eastAsiaTheme="majorEastAsia" w:hAnsiTheme="majorBidi" w:cstheme="majorBidi"/>
          <w:color w:val="0F1115"/>
          <w:sz w:val="28"/>
          <w:szCs w:val="28"/>
        </w:rPr>
        <w:t>Feminist</w:t>
      </w:r>
      <w:r w:rsidRPr="007B0634">
        <w:rPr>
          <w:rFonts w:asciiTheme="majorBidi" w:hAnsiTheme="majorBidi" w:cstheme="majorBidi"/>
          <w:color w:val="0F1115"/>
          <w:sz w:val="28"/>
          <w:szCs w:val="28"/>
        </w:rPr>
        <w:t> stage of protest, which is displayed through symbolic rebellion against restrictive structures, and finally to the </w:t>
      </w:r>
      <w:r w:rsidRPr="007B0634">
        <w:rPr>
          <w:rStyle w:val="Emphasis"/>
          <w:rFonts w:asciiTheme="majorBidi" w:eastAsiaTheme="majorEastAsia" w:hAnsiTheme="majorBidi" w:cstheme="majorBidi"/>
          <w:color w:val="0F1115"/>
          <w:sz w:val="28"/>
          <w:szCs w:val="28"/>
        </w:rPr>
        <w:t>Female</w:t>
      </w:r>
      <w:r w:rsidRPr="007B0634">
        <w:rPr>
          <w:rFonts w:asciiTheme="majorBidi" w:hAnsiTheme="majorBidi" w:cstheme="majorBidi"/>
          <w:color w:val="0F1115"/>
          <w:sz w:val="28"/>
          <w:szCs w:val="28"/>
        </w:rPr>
        <w:t> stage of individual identity, where women attain their own specific language and space. By focusing on these three stages, the author critiques systematic inequalities against women and, by highlighting the inner liberation and empowerment of the characters, challenges the dominant ideology of patriarchy. The findings suggest that by depicting this evolutionary path, Hamad engages in a systematic critique of patriarchal institutions; by highlighting female agency, collective solidarity, and the liberating power of narrative, she challenges the dominant discourse and opens up the possibility of constructing a parallel world for the reader.</w:t>
      </w:r>
    </w:p>
    <w:p w14:paraId="5A99DF26" w14:textId="77777777" w:rsidR="002E6E11" w:rsidRDefault="002E6E11" w:rsidP="002E6E11">
      <w:pPr>
        <w:pStyle w:val="ds-markdown-paragraph"/>
        <w:shd w:val="clear" w:color="auto" w:fill="FFFFFF"/>
        <w:spacing w:before="240" w:beforeAutospacing="0" w:after="0" w:afterAutospacing="0"/>
        <w:jc w:val="both"/>
        <w:rPr>
          <w:rStyle w:val="Strong"/>
          <w:rFonts w:asciiTheme="majorBidi" w:eastAsiaTheme="majorEastAsia" w:hAnsiTheme="majorBidi" w:cstheme="majorBidi"/>
          <w:color w:val="0F1115"/>
          <w:sz w:val="28"/>
          <w:szCs w:val="28"/>
          <w:rtl/>
        </w:rPr>
      </w:pPr>
      <w:r w:rsidRPr="007B0634">
        <w:rPr>
          <w:rStyle w:val="Strong"/>
          <w:rFonts w:asciiTheme="majorBidi" w:eastAsiaTheme="majorEastAsia" w:hAnsiTheme="majorBidi" w:cstheme="majorBidi"/>
          <w:color w:val="0F1115"/>
          <w:sz w:val="28"/>
          <w:szCs w:val="28"/>
        </w:rPr>
        <w:t>Keywords:</w:t>
      </w:r>
    </w:p>
    <w:p w14:paraId="5C129935" w14:textId="77777777" w:rsidR="002E6E11" w:rsidRPr="007B0634" w:rsidRDefault="002E6E11" w:rsidP="002E6E11">
      <w:pPr>
        <w:pStyle w:val="ds-markdown-paragraph"/>
        <w:shd w:val="clear" w:color="auto" w:fill="FFFFFF"/>
        <w:spacing w:before="240" w:beforeAutospacing="0" w:after="0" w:afterAutospacing="0"/>
        <w:jc w:val="both"/>
        <w:rPr>
          <w:rFonts w:asciiTheme="majorBidi" w:eastAsiaTheme="majorEastAsia" w:hAnsiTheme="majorBidi" w:cstheme="majorBidi"/>
          <w:b/>
          <w:bCs/>
          <w:color w:val="0F1115"/>
          <w:sz w:val="28"/>
          <w:szCs w:val="28"/>
        </w:rPr>
      </w:pPr>
      <w:r w:rsidRPr="007B0634">
        <w:rPr>
          <w:rStyle w:val="Strong"/>
          <w:rFonts w:asciiTheme="majorBidi" w:eastAsiaTheme="majorEastAsia" w:hAnsiTheme="majorBidi" w:cstheme="majorBidi"/>
          <w:b w:val="0"/>
          <w:bCs w:val="0"/>
          <w:color w:val="0F1115"/>
          <w:sz w:val="28"/>
          <w:szCs w:val="28"/>
        </w:rPr>
        <w:t>Arabic Narratology,</w:t>
      </w:r>
      <w:r w:rsidRPr="007B0634">
        <w:rPr>
          <w:rFonts w:asciiTheme="majorBidi" w:hAnsiTheme="majorBidi" w:cstheme="majorBidi"/>
          <w:color w:val="0F1115"/>
          <w:sz w:val="28"/>
          <w:szCs w:val="28"/>
        </w:rPr>
        <w:t xml:space="preserve"> Feminist Criticism, Patriarchy, Elaine Showalter, Female Identity, Theory of Women's Writing, </w:t>
      </w:r>
      <w:proofErr w:type="spellStart"/>
      <w:r w:rsidRPr="007B0634">
        <w:rPr>
          <w:rFonts w:asciiTheme="majorBidi" w:hAnsiTheme="majorBidi" w:cstheme="majorBidi"/>
          <w:color w:val="0F1115"/>
          <w:sz w:val="28"/>
          <w:szCs w:val="28"/>
        </w:rPr>
        <w:t>Cinderellat</w:t>
      </w:r>
      <w:proofErr w:type="spellEnd"/>
      <w:r w:rsidRPr="007B0634">
        <w:rPr>
          <w:rFonts w:asciiTheme="majorBidi" w:hAnsiTheme="majorBidi" w:cstheme="majorBidi"/>
          <w:color w:val="0F1115"/>
          <w:sz w:val="28"/>
          <w:szCs w:val="28"/>
        </w:rPr>
        <w:t xml:space="preserve"> Muscat.</w:t>
      </w:r>
    </w:p>
    <w:p w14:paraId="508C6F61" w14:textId="77777777" w:rsidR="002E6E11" w:rsidRPr="007B0634" w:rsidRDefault="002E6E11" w:rsidP="002E6E11">
      <w:pPr>
        <w:bidi/>
        <w:rPr>
          <w:rFonts w:ascii="Traditional Arabic" w:hAnsi="Traditional Arabic" w:cs="Traditional Arabic"/>
          <w:b/>
          <w:bCs/>
          <w:sz w:val="32"/>
          <w:szCs w:val="32"/>
          <w:rtl/>
        </w:rPr>
      </w:pPr>
    </w:p>
    <w:p w14:paraId="3699B002" w14:textId="77777777" w:rsidR="002E6E11" w:rsidRDefault="002E6E11" w:rsidP="002E6E11">
      <w:pPr>
        <w:bidi/>
        <w:rPr>
          <w:rFonts w:ascii="Traditional Arabic" w:hAnsi="Traditional Arabic" w:cs="Traditional Arabic"/>
          <w:b/>
          <w:bCs/>
          <w:sz w:val="32"/>
          <w:szCs w:val="32"/>
          <w:rtl/>
        </w:rPr>
      </w:pPr>
    </w:p>
    <w:p w14:paraId="4102196A" w14:textId="77777777" w:rsidR="002E6E11" w:rsidRDefault="002E6E11" w:rsidP="002E6E11">
      <w:pPr>
        <w:bidi/>
        <w:rPr>
          <w:rFonts w:ascii="Traditional Arabic" w:hAnsi="Traditional Arabic" w:cs="Traditional Arabic"/>
          <w:b/>
          <w:bCs/>
          <w:sz w:val="32"/>
          <w:szCs w:val="32"/>
          <w:rtl/>
        </w:rPr>
      </w:pPr>
    </w:p>
    <w:p w14:paraId="0895C570" w14:textId="77777777" w:rsidR="002E6E11" w:rsidRDefault="002E6E11" w:rsidP="002E6E11">
      <w:pPr>
        <w:bidi/>
        <w:rPr>
          <w:rFonts w:ascii="Traditional Arabic" w:hAnsi="Traditional Arabic" w:cs="Traditional Arabic"/>
          <w:b/>
          <w:bCs/>
          <w:sz w:val="32"/>
          <w:szCs w:val="32"/>
          <w:rtl/>
        </w:rPr>
      </w:pPr>
    </w:p>
    <w:p w14:paraId="74C40990" w14:textId="23E77FDC" w:rsidR="002E6E11" w:rsidRDefault="002E6E11" w:rsidP="002E6E11">
      <w:pPr>
        <w:bidi/>
        <w:rPr>
          <w:rFonts w:ascii="Traditional Arabic" w:hAnsi="Traditional Arabic" w:cs="Traditional Arabic"/>
          <w:b/>
          <w:bCs/>
          <w:sz w:val="32"/>
          <w:szCs w:val="32"/>
          <w:rtl/>
        </w:rPr>
      </w:pPr>
      <w:r w:rsidRPr="00060E8F">
        <w:rPr>
          <w:rFonts w:ascii="Traditional Arabic" w:hAnsi="Traditional Arabic" w:cs="Traditional Arabic"/>
          <w:b/>
          <w:bCs/>
          <w:sz w:val="32"/>
          <w:szCs w:val="32"/>
          <w:highlight w:val="yellow"/>
          <w:rtl/>
        </w:rPr>
        <w:t>تحليل رواية "سندريلات مسقط" لهدى حمد في ضوء نظرية "النمط الثلاثي للأدب النسوي" لإيلين شوالتر</w:t>
      </w:r>
      <w:r>
        <w:rPr>
          <w:rStyle w:val="FootnoteReference"/>
          <w:rFonts w:ascii="Traditional Arabic" w:hAnsi="Traditional Arabic" w:cs="Traditional Arabic"/>
          <w:b/>
          <w:bCs/>
          <w:sz w:val="32"/>
          <w:szCs w:val="32"/>
          <w:highlight w:val="yellow"/>
          <w:rtl/>
        </w:rPr>
        <w:footnoteReference w:id="2"/>
      </w:r>
    </w:p>
    <w:p w14:paraId="1FAFDC24" w14:textId="77777777" w:rsidR="002E6E11" w:rsidRPr="00A9675D" w:rsidRDefault="002E6E11" w:rsidP="002E6E11">
      <w:pPr>
        <w:bidi/>
        <w:rPr>
          <w:rFonts w:ascii="Traditional Arabic" w:hAnsi="Traditional Arabic" w:cs="Traditional Arabic"/>
          <w:b/>
          <w:bCs/>
          <w:sz w:val="28"/>
          <w:szCs w:val="28"/>
          <w:rtl/>
        </w:rPr>
      </w:pPr>
      <w:r w:rsidRPr="00A9675D">
        <w:rPr>
          <w:rFonts w:ascii="Traditional Arabic" w:hAnsi="Traditional Arabic" w:cs="Traditional Arabic"/>
          <w:b/>
          <w:bCs/>
          <w:sz w:val="28"/>
          <w:szCs w:val="28"/>
          <w:rtl/>
        </w:rPr>
        <w:t>الملخص</w:t>
      </w:r>
    </w:p>
    <w:p w14:paraId="389D0A40"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 xml:space="preserve">ينطلق النقد النسوي، بوصفه منهجًا تحليليًا في الدراسات الأدبية، من التركيز على مكانة المرأة في البنى الاجتماعية، ساعيًا إلى كشف أوجه عدم المساواة بين الجنسين وتحفيز إعادة تعريف علاقات القوة. وتصور رواية "سندريلات مسقط" للكاتبة العُمانية هدى حمد أيديولوجية هيمنة النظام الأبوي في الأسرة والمجتمع. تبحث هذه الدراسة، باستخدام المنهج الوصفي التحليلي، رواية "سندريلات مسقط" لهدى حمد في إطار النظرية الثلاثية المراحل لإيلين شوالتر. ويهدف هذا التحليل إلى إظهار كيفية تجلي المسار التاريخي لتطور الوعي النسوي في هذا العمل، الذي يبدأ من تقبل الأدوار التقليدية ليبلغ في نهايته مرحلة تشكيل الهوية المستقلة. وتكشف النتائج أن الرواية تصور مسيرة تطور المرأة من مرحلة الخنوع والانصياع (الأنثوية)، حيث تُعرَّف الشخصيات في إطار التوقعات الذكورية، إلى مرحلة الاحتجاج (النسوية)، التي تتجلى من خلال التمرد الرمزي ضد البنى المقيدة، وأخيرًا إلى مرحلة الهوية الفردية (الأنثى)، حيث تبلغ النساء </w:t>
      </w:r>
      <w:r w:rsidRPr="00060E8F">
        <w:rPr>
          <w:rFonts w:ascii="Traditional Arabic" w:hAnsi="Traditional Arabic" w:cs="Traditional Arabic"/>
          <w:sz w:val="28"/>
          <w:szCs w:val="28"/>
          <w:highlight w:val="yellow"/>
          <w:rtl/>
        </w:rPr>
        <w:t>لغتهنّ و</w:t>
      </w:r>
      <w:r w:rsidRPr="00060E8F">
        <w:rPr>
          <w:rFonts w:ascii="Traditional Arabic" w:hAnsi="Traditional Arabic" w:cs="Traditional Arabic" w:hint="cs"/>
          <w:sz w:val="28"/>
          <w:szCs w:val="28"/>
          <w:highlight w:val="yellow"/>
          <w:rtl/>
        </w:rPr>
        <w:t>ف</w:t>
      </w:r>
      <w:r w:rsidRPr="00060E8F">
        <w:rPr>
          <w:rFonts w:ascii="Traditional Arabic" w:hAnsi="Traditional Arabic" w:cs="Traditional Arabic"/>
          <w:sz w:val="28"/>
          <w:szCs w:val="28"/>
          <w:highlight w:val="yellow"/>
          <w:rtl/>
        </w:rPr>
        <w:t>ضائهنّ الخاص</w:t>
      </w:r>
      <w:r w:rsidRPr="00060E8F">
        <w:rPr>
          <w:highlight w:val="yellow"/>
          <w:rtl/>
        </w:rPr>
        <w:t xml:space="preserve"> </w:t>
      </w:r>
      <w:r w:rsidRPr="00060E8F">
        <w:rPr>
          <w:rFonts w:ascii="Traditional Arabic" w:hAnsi="Traditional Arabic" w:cs="Traditional Arabic"/>
          <w:sz w:val="28"/>
          <w:szCs w:val="28"/>
          <w:highlight w:val="yellow"/>
          <w:rtl/>
        </w:rPr>
        <w:t>ومع ذلك، كانت المرحلة الثالثة واليوتوبيا المرتبطة بها مؤقتة ضمن سياق الرواية</w:t>
      </w:r>
      <w:r w:rsidRPr="00060E8F">
        <w:rPr>
          <w:highlight w:val="yellow"/>
          <w:rtl/>
        </w:rPr>
        <w:t xml:space="preserve"> </w:t>
      </w:r>
      <w:r w:rsidRPr="00060E8F">
        <w:rPr>
          <w:rFonts w:ascii="Traditional Arabic" w:hAnsi="Traditional Arabic" w:cs="Traditional Arabic"/>
          <w:sz w:val="28"/>
          <w:szCs w:val="28"/>
          <w:highlight w:val="yellow"/>
          <w:rtl/>
        </w:rPr>
        <w:t>بسبب المخاوف المتجذّرة والضغوط الاجتماعية.</w:t>
      </w:r>
      <w:r w:rsidRPr="00A9675D">
        <w:rPr>
          <w:rFonts w:ascii="Traditional Arabic" w:hAnsi="Traditional Arabic" w:cs="Traditional Arabic"/>
          <w:sz w:val="28"/>
          <w:szCs w:val="28"/>
          <w:rtl/>
        </w:rPr>
        <w:t xml:space="preserve"> ومن خلال التركيز على هذه المراحل الثلاث، تنتقد ال</w:t>
      </w:r>
      <w:bookmarkStart w:id="1" w:name="_Hlk210928880"/>
      <w:r w:rsidRPr="00A9675D">
        <w:rPr>
          <w:rFonts w:ascii="Traditional Arabic" w:hAnsi="Traditional Arabic" w:cs="Traditional Arabic"/>
          <w:sz w:val="28"/>
          <w:szCs w:val="28"/>
          <w:rtl/>
        </w:rPr>
        <w:t>ك</w:t>
      </w:r>
      <w:bookmarkEnd w:id="1"/>
      <w:r w:rsidRPr="00A9675D">
        <w:rPr>
          <w:rFonts w:ascii="Traditional Arabic" w:hAnsi="Traditional Arabic" w:cs="Traditional Arabic"/>
          <w:sz w:val="28"/>
          <w:szCs w:val="28"/>
          <w:rtl/>
        </w:rPr>
        <w:t>اتبة أوجه عدم المساواة المنهجية ضد المرأة، وتتحدى الأيديولوجية الأبوية السائدة بإبراز التحرر الداخلي وقدرة الشخصيات على التمكين. وتشير النتائج إلى أن حمد، من خلال تصويرها هذا المسار التطوري، تنتقد بشكل منهجي مؤسسات النظام الأبوي، وتتحدى الخطاب السائد بإبرازها وكالة المرأة الفاعلة، والتضامن الجماعي، وقوة السرد التحرري، مما يفتح أمام القارئ إمكانية بناء عالم موازٍ</w:t>
      </w:r>
      <w:r>
        <w:rPr>
          <w:rFonts w:ascii="Traditional Arabic" w:hAnsi="Traditional Arabic" w:cs="Traditional Arabic" w:hint="cs"/>
          <w:sz w:val="28"/>
          <w:szCs w:val="28"/>
          <w:rtl/>
        </w:rPr>
        <w:t xml:space="preserve">. </w:t>
      </w:r>
    </w:p>
    <w:p w14:paraId="7B9F036D" w14:textId="77777777" w:rsidR="002E6E11" w:rsidRPr="00A9675D" w:rsidRDefault="002E6E11" w:rsidP="002E6E11">
      <w:pPr>
        <w:rPr>
          <w:rFonts w:ascii="Traditional Arabic" w:hAnsi="Traditional Arabic" w:cs="Traditional Arabic"/>
          <w:b/>
          <w:bCs/>
          <w:sz w:val="28"/>
          <w:szCs w:val="28"/>
          <w:rtl/>
        </w:rPr>
      </w:pPr>
    </w:p>
    <w:p w14:paraId="1E53660F" w14:textId="77777777" w:rsidR="002E6E11" w:rsidRPr="00A9675D" w:rsidRDefault="002E6E11" w:rsidP="002E6E11">
      <w:pPr>
        <w:bidi/>
        <w:rPr>
          <w:rFonts w:ascii="Traditional Arabic" w:hAnsi="Traditional Arabic" w:cs="Traditional Arabic"/>
          <w:b/>
          <w:bCs/>
          <w:sz w:val="28"/>
          <w:szCs w:val="28"/>
          <w:rtl/>
        </w:rPr>
      </w:pPr>
      <w:r w:rsidRPr="00A9675D">
        <w:rPr>
          <w:rFonts w:ascii="Traditional Arabic" w:hAnsi="Traditional Arabic" w:cs="Traditional Arabic"/>
          <w:b/>
          <w:bCs/>
          <w:sz w:val="28"/>
          <w:szCs w:val="28"/>
          <w:rtl/>
        </w:rPr>
        <w:t xml:space="preserve">الكلمات المفتاحية: </w:t>
      </w:r>
    </w:p>
    <w:p w14:paraId="007F11DD" w14:textId="77777777" w:rsidR="002E6E11" w:rsidRPr="00A9675D" w:rsidRDefault="002E6E11" w:rsidP="002E6E11">
      <w:pPr>
        <w:bidi/>
        <w:rPr>
          <w:rFonts w:ascii="Traditional Arabic" w:hAnsi="Traditional Arabic" w:cs="Traditional Arabic"/>
          <w:sz w:val="28"/>
          <w:szCs w:val="28"/>
          <w:rtl/>
        </w:rPr>
      </w:pPr>
      <w:r w:rsidRPr="005D1C47">
        <w:rPr>
          <w:rFonts w:ascii="Traditional Arabic" w:hAnsi="Traditional Arabic" w:cs="Traditional Arabic"/>
          <w:sz w:val="28"/>
          <w:szCs w:val="28"/>
          <w:highlight w:val="yellow"/>
          <w:rtl/>
        </w:rPr>
        <w:t>السردان</w:t>
      </w:r>
      <w:r w:rsidRPr="005D1C47">
        <w:rPr>
          <w:rFonts w:ascii="Traditional Arabic" w:hAnsi="Traditional Arabic" w:cs="Traditional Arabic" w:hint="cs"/>
          <w:sz w:val="28"/>
          <w:szCs w:val="28"/>
          <w:highlight w:val="yellow"/>
          <w:rtl/>
        </w:rPr>
        <w:t>ی</w:t>
      </w:r>
      <w:r w:rsidRPr="005D1C47">
        <w:rPr>
          <w:rFonts w:ascii="Traditional Arabic" w:hAnsi="Traditional Arabic" w:cs="Traditional Arabic" w:hint="eastAsia"/>
          <w:sz w:val="28"/>
          <w:szCs w:val="28"/>
          <w:highlight w:val="yellow"/>
          <w:rtl/>
        </w:rPr>
        <w:t>ة</w:t>
      </w:r>
      <w:r w:rsidRPr="005D1C47">
        <w:rPr>
          <w:rFonts w:ascii="Traditional Arabic" w:hAnsi="Traditional Arabic" w:cs="Traditional Arabic"/>
          <w:sz w:val="28"/>
          <w:szCs w:val="28"/>
          <w:highlight w:val="yellow"/>
          <w:rtl/>
        </w:rPr>
        <w:t xml:space="preserve"> العرب</w:t>
      </w:r>
      <w:r w:rsidRPr="005D1C47">
        <w:rPr>
          <w:rFonts w:ascii="Traditional Arabic" w:hAnsi="Traditional Arabic" w:cs="Traditional Arabic" w:hint="cs"/>
          <w:sz w:val="28"/>
          <w:szCs w:val="28"/>
          <w:highlight w:val="yellow"/>
          <w:rtl/>
        </w:rPr>
        <w:t>ی</w:t>
      </w:r>
      <w:r w:rsidRPr="005D1C47">
        <w:rPr>
          <w:rFonts w:ascii="Traditional Arabic" w:hAnsi="Traditional Arabic" w:cs="Traditional Arabic" w:hint="eastAsia"/>
          <w:sz w:val="28"/>
          <w:szCs w:val="28"/>
          <w:highlight w:val="yellow"/>
          <w:rtl/>
        </w:rPr>
        <w:t>ة</w:t>
      </w:r>
      <w:r w:rsidRPr="005D1C47">
        <w:rPr>
          <w:rFonts w:ascii="Traditional Arabic" w:hAnsi="Traditional Arabic" w:cs="Traditional Arabic" w:hint="cs"/>
          <w:sz w:val="28"/>
          <w:szCs w:val="28"/>
          <w:highlight w:val="yellow"/>
          <w:rtl/>
          <w:lang w:bidi="fa-IR"/>
        </w:rPr>
        <w:t xml:space="preserve">، </w:t>
      </w:r>
      <w:r w:rsidRPr="005D1C47">
        <w:rPr>
          <w:rFonts w:ascii="Traditional Arabic" w:hAnsi="Traditional Arabic" w:cs="Traditional Arabic"/>
          <w:sz w:val="28"/>
          <w:szCs w:val="28"/>
          <w:highlight w:val="yellow"/>
          <w:rtl/>
        </w:rPr>
        <w:t>النقد النسوي، النظام ال</w:t>
      </w:r>
      <w:r>
        <w:rPr>
          <w:rFonts w:ascii="Traditional Arabic" w:hAnsi="Traditional Arabic" w:cs="Traditional Arabic" w:hint="cs"/>
          <w:sz w:val="28"/>
          <w:szCs w:val="28"/>
          <w:highlight w:val="yellow"/>
          <w:rtl/>
        </w:rPr>
        <w:t>ذ</w:t>
      </w:r>
      <w:r>
        <w:rPr>
          <w:rFonts w:ascii="Traditional Arabic" w:hAnsi="Traditional Arabic" w:cs="Traditional Arabic" w:hint="cs"/>
          <w:sz w:val="28"/>
          <w:szCs w:val="28"/>
          <w:highlight w:val="yellow"/>
          <w:rtl/>
          <w:lang w:bidi="ar-IQ"/>
        </w:rPr>
        <w:t>كوري</w:t>
      </w:r>
      <w:r w:rsidRPr="005D1C47">
        <w:rPr>
          <w:rFonts w:ascii="Traditional Arabic" w:hAnsi="Traditional Arabic" w:cs="Traditional Arabic"/>
          <w:sz w:val="28"/>
          <w:szCs w:val="28"/>
          <w:highlight w:val="yellow"/>
          <w:rtl/>
        </w:rPr>
        <w:t>، إيلين شوالتر، الهوية النسوية، سندريلات مسقط.</w:t>
      </w:r>
    </w:p>
    <w:p w14:paraId="6F336B86" w14:textId="77777777" w:rsidR="002E6E11" w:rsidRPr="00A9675D" w:rsidRDefault="002E6E11" w:rsidP="002E6E11">
      <w:pPr>
        <w:bidi/>
        <w:rPr>
          <w:rFonts w:ascii="Traditional Arabic" w:hAnsi="Traditional Arabic" w:cs="Traditional Arabic"/>
          <w:sz w:val="28"/>
          <w:szCs w:val="28"/>
          <w:rtl/>
        </w:rPr>
      </w:pPr>
    </w:p>
    <w:p w14:paraId="22B0D95C" w14:textId="77777777" w:rsidR="002E6E11" w:rsidRPr="00A9675D" w:rsidRDefault="002E6E11" w:rsidP="002E6E11">
      <w:pPr>
        <w:bidi/>
        <w:jc w:val="both"/>
        <w:rPr>
          <w:rFonts w:ascii="Traditional Arabic" w:hAnsi="Traditional Arabic" w:cs="Traditional Arabic"/>
          <w:b/>
          <w:bCs/>
          <w:sz w:val="28"/>
          <w:szCs w:val="28"/>
          <w:rtl/>
        </w:rPr>
      </w:pPr>
      <w:r w:rsidRPr="00A9675D">
        <w:rPr>
          <w:rFonts w:ascii="Traditional Arabic" w:hAnsi="Traditional Arabic" w:cs="Traditional Arabic"/>
          <w:b/>
          <w:bCs/>
          <w:sz w:val="28"/>
          <w:szCs w:val="28"/>
          <w:rtl/>
        </w:rPr>
        <w:lastRenderedPageBreak/>
        <w:t>1</w:t>
      </w:r>
      <w:r w:rsidRPr="00A9675D">
        <w:rPr>
          <w:rFonts w:ascii="Traditional Arabic" w:hAnsi="Traditional Arabic" w:cs="Traditional Arabic"/>
          <w:b/>
          <w:bCs/>
          <w:sz w:val="28"/>
          <w:szCs w:val="28"/>
        </w:rPr>
        <w:t xml:space="preserve">. </w:t>
      </w:r>
      <w:r w:rsidRPr="00A9675D">
        <w:rPr>
          <w:rFonts w:ascii="Traditional Arabic" w:hAnsi="Traditional Arabic" w:cs="Traditional Arabic"/>
          <w:b/>
          <w:bCs/>
          <w:sz w:val="28"/>
          <w:szCs w:val="28"/>
          <w:rtl/>
        </w:rPr>
        <w:t>المقدمة</w:t>
      </w:r>
    </w:p>
    <w:p w14:paraId="758F64A0"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 xml:space="preserve">يُمثِّل النقد النسوي، بوصفه فرعًا مؤثرًا من النظرية الأدبية، منهجًا موجّهًا نحو تحليل علاقات القوة، يهدف إلى تحليل وإعادة بناء مكانة المرأة بوصفها </w:t>
      </w:r>
      <w:r w:rsidRPr="005D1C47">
        <w:rPr>
          <w:rFonts w:ascii="Traditional Arabic" w:hAnsi="Traditional Arabic" w:cs="Traditional Arabic"/>
          <w:sz w:val="28"/>
          <w:szCs w:val="28"/>
          <w:highlight w:val="yellow"/>
          <w:rtl/>
        </w:rPr>
        <w:t>فاعلة نشطة</w:t>
      </w:r>
      <w:r>
        <w:rPr>
          <w:rFonts w:ascii="Traditional Arabic" w:hAnsi="Traditional Arabic" w:cs="Traditional Arabic" w:hint="cs"/>
          <w:sz w:val="28"/>
          <w:szCs w:val="28"/>
          <w:rtl/>
        </w:rPr>
        <w:t xml:space="preserve"> </w:t>
      </w:r>
      <w:r w:rsidRPr="00A9675D">
        <w:rPr>
          <w:rFonts w:ascii="Traditional Arabic" w:hAnsi="Traditional Arabic" w:cs="Traditional Arabic"/>
          <w:sz w:val="28"/>
          <w:szCs w:val="28"/>
          <w:rtl/>
        </w:rPr>
        <w:t>في المجالين الاجتماعي والثقافي</w:t>
      </w:r>
      <w:r>
        <w:rPr>
          <w:rFonts w:ascii="Traditional Arabic" w:hAnsi="Traditional Arabic" w:cs="Traditional Arabic" w:hint="cs"/>
          <w:sz w:val="28"/>
          <w:szCs w:val="28"/>
          <w:rtl/>
        </w:rPr>
        <w:t>.</w:t>
      </w:r>
      <w:r w:rsidRPr="001424B8">
        <w:rPr>
          <w:rtl/>
        </w:rPr>
        <w:t xml:space="preserve"> </w:t>
      </w:r>
      <w:r w:rsidRPr="001424B8">
        <w:rPr>
          <w:rFonts w:ascii="Traditional Arabic" w:hAnsi="Traditional Arabic" w:cs="Traditional Arabic"/>
          <w:sz w:val="28"/>
          <w:szCs w:val="28"/>
          <w:highlight w:val="yellow"/>
          <w:rtl/>
        </w:rPr>
        <w:t>تعمل هذه القراءة النقدية على كشف آليات القمع المؤسسية ومقاومتها، التي تحرم النساء من الحصول على حقوقهن الطبيعية وموقعهن المتساوي.</w:t>
      </w:r>
      <w:r w:rsidRPr="00A9675D">
        <w:rPr>
          <w:rFonts w:ascii="Traditional Arabic" w:hAnsi="Traditional Arabic" w:cs="Traditional Arabic"/>
          <w:sz w:val="28"/>
          <w:szCs w:val="28"/>
          <w:rtl/>
        </w:rPr>
        <w:t xml:space="preserve"> وعليه، فإن المهمة الأساسية للنقد النسوي تتمثل في </w:t>
      </w:r>
      <w:r w:rsidRPr="005D1C47">
        <w:rPr>
          <w:rFonts w:ascii="Traditional Arabic" w:hAnsi="Traditional Arabic" w:cs="Traditional Arabic" w:hint="cs"/>
          <w:sz w:val="28"/>
          <w:szCs w:val="28"/>
          <w:highlight w:val="yellow"/>
          <w:rtl/>
        </w:rPr>
        <w:t>إظهار</w:t>
      </w:r>
      <w:r w:rsidRPr="00A9675D">
        <w:rPr>
          <w:rFonts w:ascii="Traditional Arabic" w:hAnsi="Traditional Arabic" w:cs="Traditional Arabic"/>
          <w:sz w:val="28"/>
          <w:szCs w:val="28"/>
          <w:rtl/>
        </w:rPr>
        <w:t xml:space="preserve"> أوجه عدم المساواة الأسرية والاجتماعية هيكليًا، والدفاع عن الحقوق الفردية والجماعية للنساء في مواجهة الخطابات الذكورية المهيمنة. من هذا المنظور، فإن دراسة الأعمال التي تضع المفاهيم والتجارب الأنثوية في صلب السرد، بهدف إبراز التحديات والمقاومة التي تقدمها النساء في سياق المجتمعات الأبوية، يمكن أن تسهم، من خلال دورها التوعوي، في تسليط الضوء على التناقضات وتفكيك أشكال التمييز المتجذرة</w:t>
      </w:r>
      <w:r w:rsidRPr="00A9675D">
        <w:rPr>
          <w:rFonts w:ascii="Traditional Arabic" w:hAnsi="Traditional Arabic" w:cs="Traditional Arabic"/>
          <w:sz w:val="28"/>
          <w:szCs w:val="28"/>
        </w:rPr>
        <w:t>.</w:t>
      </w:r>
    </w:p>
    <w:p w14:paraId="191455E6"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تعد رواية "سندريلات مسقط" للكاتبة هدى حمد من أبرز أعمال الأدب العُماني المعاصر، والتي تتناول بعمق ونظرة نقدية حياة وهُموم النساء في هذا المجتمع. لا تقدم هذه الرواية، من خلال تصوير حكايات ثماني نساء في فضاء رمزي، انعكاسًا للواقع الاجتماعي فحسب، بل تُشكل أيضًا محاولة أدبية لإعادة تعريف الهوية الأنثوية ضمن إطار جديد</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w:t>
      </w:r>
      <w:r w:rsidRPr="005D1C47">
        <w:rPr>
          <w:rFonts w:ascii="Traditional Arabic" w:hAnsi="Traditional Arabic" w:cs="Traditional Arabic"/>
          <w:sz w:val="28"/>
          <w:szCs w:val="28"/>
          <w:highlight w:val="yellow"/>
          <w:rtl/>
        </w:rPr>
        <w:t>توفر الناقدة النسو</w:t>
      </w:r>
      <w:r w:rsidRPr="005D1C47">
        <w:rPr>
          <w:rFonts w:ascii="Traditional Arabic" w:hAnsi="Traditional Arabic" w:cs="Traditional Arabic" w:hint="cs"/>
          <w:sz w:val="28"/>
          <w:szCs w:val="28"/>
          <w:highlight w:val="yellow"/>
          <w:rtl/>
        </w:rPr>
        <w:t>ی</w:t>
      </w:r>
      <w:r w:rsidRPr="005D1C47">
        <w:rPr>
          <w:rFonts w:ascii="Traditional Arabic" w:hAnsi="Traditional Arabic" w:cs="Traditional Arabic" w:hint="eastAsia"/>
          <w:sz w:val="28"/>
          <w:szCs w:val="28"/>
          <w:highlight w:val="yellow"/>
          <w:rtl/>
        </w:rPr>
        <w:t>ة</w:t>
      </w:r>
      <w:r w:rsidRPr="005D1C47">
        <w:rPr>
          <w:rFonts w:ascii="Traditional Arabic" w:hAnsi="Traditional Arabic" w:cs="Traditional Arabic"/>
          <w:sz w:val="28"/>
          <w:szCs w:val="28"/>
          <w:rtl/>
        </w:rPr>
        <w:t xml:space="preserve"> </w:t>
      </w:r>
      <w:r w:rsidRPr="00A9675D">
        <w:rPr>
          <w:rFonts w:ascii="Traditional Arabic" w:hAnsi="Traditional Arabic" w:cs="Traditional Arabic"/>
          <w:sz w:val="28"/>
          <w:szCs w:val="28"/>
          <w:rtl/>
        </w:rPr>
        <w:t xml:space="preserve">إيلين شوالتر إطارًا تحليليًا لفحص التطور التصاعدي للصوت والهوية النسائية في الأدب، من خلال طرحها النموذج ثلاثي المراحل: </w:t>
      </w:r>
      <w:r w:rsidRPr="00D345FD">
        <w:rPr>
          <w:rFonts w:ascii="Traditional Arabic" w:hAnsi="Traditional Arabic" w:cs="Traditional Arabic"/>
          <w:sz w:val="28"/>
          <w:szCs w:val="28"/>
          <w:highlight w:val="yellow"/>
          <w:rtl/>
        </w:rPr>
        <w:t>مرحلة " الأنثوية</w:t>
      </w:r>
      <w:r w:rsidRPr="00D345FD">
        <w:rPr>
          <w:rFonts w:ascii="Traditional Arabic" w:hAnsi="Traditional Arabic" w:cs="Traditional Arabic"/>
          <w:sz w:val="28"/>
          <w:szCs w:val="28"/>
          <w:rtl/>
        </w:rPr>
        <w:t xml:space="preserve"> </w:t>
      </w:r>
      <w:r w:rsidRPr="00A9675D">
        <w:rPr>
          <w:rFonts w:ascii="Traditional Arabic" w:hAnsi="Traditional Arabic" w:cs="Traditional Arabic"/>
          <w:sz w:val="28"/>
          <w:szCs w:val="28"/>
          <w:rtl/>
        </w:rPr>
        <w:t>" (</w:t>
      </w:r>
      <w:r w:rsidRPr="00A9675D">
        <w:rPr>
          <w:rFonts w:ascii="Traditional Arabic" w:hAnsi="Traditional Arabic" w:cs="Traditional Arabic"/>
          <w:sz w:val="28"/>
          <w:szCs w:val="28"/>
        </w:rPr>
        <w:t>Feminine</w:t>
      </w:r>
      <w:r w:rsidRPr="00A9675D">
        <w:rPr>
          <w:rFonts w:ascii="Traditional Arabic" w:hAnsi="Traditional Arabic" w:cs="Traditional Arabic"/>
          <w:sz w:val="28"/>
          <w:szCs w:val="28"/>
          <w:rtl/>
        </w:rPr>
        <w:t xml:space="preserve">)، ومرحلة </w:t>
      </w:r>
      <w:r w:rsidRPr="00D345FD">
        <w:rPr>
          <w:rFonts w:ascii="Traditional Arabic" w:hAnsi="Traditional Arabic" w:cs="Traditional Arabic"/>
          <w:sz w:val="28"/>
          <w:szCs w:val="28"/>
          <w:highlight w:val="yellow"/>
          <w:rtl/>
        </w:rPr>
        <w:t>"النسوية"</w:t>
      </w:r>
      <w:r w:rsidRPr="00A9675D">
        <w:rPr>
          <w:rFonts w:ascii="Traditional Arabic" w:hAnsi="Traditional Arabic" w:cs="Traditional Arabic"/>
          <w:sz w:val="28"/>
          <w:szCs w:val="28"/>
          <w:rtl/>
        </w:rPr>
        <w:t xml:space="preserve"> (</w:t>
      </w:r>
      <w:r w:rsidRPr="00A9675D">
        <w:rPr>
          <w:rFonts w:ascii="Traditional Arabic" w:hAnsi="Traditional Arabic" w:cs="Traditional Arabic"/>
          <w:sz w:val="28"/>
          <w:szCs w:val="28"/>
        </w:rPr>
        <w:t>Feminist</w:t>
      </w:r>
      <w:r w:rsidRPr="00A9675D">
        <w:rPr>
          <w:rFonts w:ascii="Traditional Arabic" w:hAnsi="Traditional Arabic" w:cs="Traditional Arabic"/>
          <w:sz w:val="28"/>
          <w:szCs w:val="28"/>
          <w:rtl/>
        </w:rPr>
        <w:t xml:space="preserve">)، </w:t>
      </w:r>
      <w:r w:rsidRPr="00D345FD">
        <w:rPr>
          <w:rFonts w:ascii="Traditional Arabic" w:hAnsi="Traditional Arabic" w:cs="Traditional Arabic"/>
          <w:sz w:val="28"/>
          <w:szCs w:val="28"/>
          <w:highlight w:val="yellow"/>
          <w:rtl/>
        </w:rPr>
        <w:t>ومرحلة "الأنثى-المحور" (</w:t>
      </w:r>
      <w:r w:rsidRPr="00D345FD">
        <w:rPr>
          <w:rFonts w:ascii="Traditional Arabic" w:hAnsi="Traditional Arabic" w:cs="Traditional Arabic"/>
          <w:sz w:val="28"/>
          <w:szCs w:val="28"/>
          <w:highlight w:val="yellow"/>
        </w:rPr>
        <w:t>Female</w:t>
      </w:r>
      <w:r w:rsidRPr="00D345FD">
        <w:rPr>
          <w:rFonts w:ascii="Traditional Arabic" w:hAnsi="Traditional Arabic" w:cs="Traditional Arabic"/>
          <w:sz w:val="28"/>
          <w:szCs w:val="28"/>
          <w:highlight w:val="yellow"/>
          <w:rtl/>
        </w:rPr>
        <w:t>).</w:t>
      </w:r>
      <w:r w:rsidRPr="00A9675D">
        <w:rPr>
          <w:rFonts w:ascii="Traditional Arabic" w:hAnsi="Traditional Arabic" w:cs="Traditional Arabic"/>
          <w:sz w:val="28"/>
          <w:szCs w:val="28"/>
          <w:rtl/>
        </w:rPr>
        <w:t xml:space="preserve"> ونظرًا لمرونة هذا الإطار وتركيزه على عملية " </w:t>
      </w:r>
      <w:r w:rsidRPr="00A9675D">
        <w:rPr>
          <w:rFonts w:ascii="Traditional Arabic" w:hAnsi="Traditional Arabic" w:cs="Traditional Arabic"/>
          <w:sz w:val="28"/>
          <w:szCs w:val="28"/>
        </w:rPr>
        <w:t>becoming</w:t>
      </w:r>
      <w:r w:rsidRPr="00A9675D">
        <w:rPr>
          <w:rFonts w:ascii="Traditional Arabic" w:hAnsi="Traditional Arabic" w:cs="Traditional Arabic"/>
          <w:sz w:val="28"/>
          <w:szCs w:val="28"/>
          <w:rtl/>
        </w:rPr>
        <w:t>" أو تشكّل الذات الأنثوية، فإنه يعد أداة قوية لتحليل مسار الشخصيات النسائية في رواية حمد واستعراض التحديات والتحوّلات التي تمر بها. ومن ثم يمكن اعتبار نظرية شوالتر أداة تحليلية فعَّالة لتوضيح المسار التطوري للشخصيات النسائية في رواية حمد، وعرض رحلتهن من مرحلة الانصياع إلى مرحلة الاحتجاج، وصولاً إلى مرحلة اكتساب الهوية الفردية والجماعية، مما يُمكّن في النهاية من فهم التفاعل بين البنى الأبوية، وسيكولوجية الشخصيات، وممارساتهن الرمزية.</w:t>
      </w:r>
    </w:p>
    <w:p w14:paraId="3C301120" w14:textId="77777777" w:rsidR="002E6E11" w:rsidRPr="00D65BBC" w:rsidRDefault="002E6E11" w:rsidP="002E6E11">
      <w:pPr>
        <w:bidi/>
        <w:jc w:val="both"/>
        <w:rPr>
          <w:rFonts w:ascii="Traditional Arabic" w:hAnsi="Traditional Arabic" w:cs="Traditional Arabic"/>
          <w:b/>
          <w:bCs/>
          <w:sz w:val="28"/>
          <w:szCs w:val="28"/>
          <w:rtl/>
        </w:rPr>
      </w:pPr>
      <w:r w:rsidRPr="00D65BBC">
        <w:rPr>
          <w:rFonts w:ascii="Traditional Arabic" w:hAnsi="Traditional Arabic" w:cs="Traditional Arabic"/>
          <w:b/>
          <w:bCs/>
          <w:sz w:val="28"/>
          <w:szCs w:val="28"/>
          <w:rtl/>
        </w:rPr>
        <w:t>1-1</w:t>
      </w:r>
      <w:r w:rsidRPr="00D65BBC">
        <w:rPr>
          <w:rFonts w:ascii="Traditional Arabic" w:hAnsi="Traditional Arabic" w:cs="Traditional Arabic"/>
          <w:b/>
          <w:bCs/>
          <w:sz w:val="28"/>
          <w:szCs w:val="28"/>
        </w:rPr>
        <w:t xml:space="preserve">. </w:t>
      </w:r>
      <w:r w:rsidRPr="00D65BBC">
        <w:rPr>
          <w:rFonts w:ascii="Traditional Arabic" w:hAnsi="Traditional Arabic" w:cs="Traditional Arabic"/>
          <w:b/>
          <w:bCs/>
          <w:sz w:val="28"/>
          <w:szCs w:val="28"/>
          <w:rtl/>
        </w:rPr>
        <w:t>أسئلة البحث</w:t>
      </w:r>
    </w:p>
    <w:p w14:paraId="1B0DD7C9"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ستتم دراسة العناصر النسوية في الرواية في إطار النقد النسوي ووفقًا للنظرية والنموذج الثلاثي لإيلين شوالتر، وتسعى هذه الدراسة للإجابة عن الأسئلة التالية</w:t>
      </w:r>
      <w:r w:rsidRPr="00A9675D">
        <w:rPr>
          <w:rFonts w:ascii="Traditional Arabic" w:hAnsi="Traditional Arabic" w:cs="Traditional Arabic"/>
          <w:sz w:val="28"/>
          <w:szCs w:val="28"/>
        </w:rPr>
        <w:t>:</w:t>
      </w:r>
    </w:p>
    <w:p w14:paraId="7D1C07B7"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 xml:space="preserve">1-كيف تنعكس مكونات </w:t>
      </w:r>
      <w:r w:rsidRPr="00C360E5">
        <w:rPr>
          <w:rFonts w:ascii="Traditional Arabic" w:hAnsi="Traditional Arabic" w:cs="Traditional Arabic"/>
          <w:sz w:val="28"/>
          <w:szCs w:val="28"/>
          <w:rtl/>
        </w:rPr>
        <w:t xml:space="preserve">النمط الثلاثي للأدب النسوي </w:t>
      </w:r>
      <w:r w:rsidRPr="00A9675D">
        <w:rPr>
          <w:rFonts w:ascii="Traditional Arabic" w:hAnsi="Traditional Arabic" w:cs="Traditional Arabic"/>
          <w:sz w:val="28"/>
          <w:szCs w:val="28"/>
          <w:rtl/>
        </w:rPr>
        <w:t>في رواية "سندريلات مسقط"؟</w:t>
      </w:r>
    </w:p>
    <w:p w14:paraId="3761058C"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2-أي المراحل الثلاث لشوالتر تكون أكثر بروزًا في تمثيل المسار التطوري للشخصيات النسائية في هذه الرواية؟</w:t>
      </w:r>
    </w:p>
    <w:p w14:paraId="201E8E53"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3-كيف تصوّر رواية "سندريلات مسقط"، بالاعتماد على المراحل الثلاث لشوالتر، عملية انتقال النساء من تقبّل الأدوار التقليدية (</w:t>
      </w:r>
      <w:bookmarkStart w:id="2" w:name="_Hlk210745305"/>
      <w:r w:rsidRPr="00A9675D">
        <w:rPr>
          <w:rFonts w:ascii="Traditional Arabic" w:hAnsi="Traditional Arabic" w:cs="Traditional Arabic"/>
          <w:sz w:val="28"/>
          <w:szCs w:val="28"/>
          <w:rtl/>
        </w:rPr>
        <w:t>المرحلة الأنثوية</w:t>
      </w:r>
      <w:bookmarkEnd w:id="2"/>
      <w:r w:rsidRPr="00A9675D">
        <w:rPr>
          <w:rFonts w:ascii="Traditional Arabic" w:hAnsi="Traditional Arabic" w:cs="Traditional Arabic"/>
          <w:sz w:val="28"/>
          <w:szCs w:val="28"/>
          <w:rtl/>
        </w:rPr>
        <w:t>) إلى المقاومة والاحتجاج (المرحلة النسوية) وصولاً إلى البحث عن الهوية المستقلة (المرحلة الأنثى-المحور)؟</w:t>
      </w:r>
    </w:p>
    <w:p w14:paraId="4F46BE0C" w14:textId="77777777" w:rsidR="002E6E11" w:rsidRPr="00D65BBC" w:rsidRDefault="002E6E11" w:rsidP="002E6E11">
      <w:pPr>
        <w:bidi/>
        <w:jc w:val="both"/>
        <w:rPr>
          <w:rFonts w:ascii="Traditional Arabic" w:hAnsi="Traditional Arabic" w:cs="Traditional Arabic"/>
          <w:b/>
          <w:bCs/>
          <w:sz w:val="28"/>
          <w:szCs w:val="28"/>
          <w:rtl/>
        </w:rPr>
      </w:pPr>
      <w:r w:rsidRPr="009B4593">
        <w:rPr>
          <w:rFonts w:ascii="Traditional Arabic" w:hAnsi="Traditional Arabic" w:cs="Traditional Arabic" w:hint="cs"/>
          <w:b/>
          <w:bCs/>
          <w:sz w:val="28"/>
          <w:szCs w:val="28"/>
          <w:highlight w:val="yellow"/>
          <w:rtl/>
        </w:rPr>
        <w:lastRenderedPageBreak/>
        <w:t>1-2.</w:t>
      </w:r>
      <w:r w:rsidRPr="009B4593">
        <w:rPr>
          <w:rFonts w:ascii="Traditional Arabic" w:hAnsi="Traditional Arabic" w:cs="Traditional Arabic"/>
          <w:b/>
          <w:bCs/>
          <w:sz w:val="28"/>
          <w:szCs w:val="28"/>
          <w:highlight w:val="yellow"/>
          <w:rtl/>
        </w:rPr>
        <w:t xml:space="preserve"> الدراسات السابقة</w:t>
      </w:r>
    </w:p>
    <w:p w14:paraId="67F5BF87"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أُجريت العديد من الدراسات والأبحاث حول النقد النسوي للروايات العربية بشكل عام، وروايات الكاتبة العُمانية هدى حمد بشكل خاص. كما اعتمد بعض هذه الدراسات على نظريات ناقدات نسويات. ومن بين هذه الدراسات يمكن الإشارة إلى ما يلي</w:t>
      </w:r>
      <w:r w:rsidRPr="00A9675D">
        <w:rPr>
          <w:rFonts w:ascii="Traditional Arabic" w:hAnsi="Traditional Arabic" w:cs="Traditional Arabic"/>
          <w:sz w:val="28"/>
          <w:szCs w:val="28"/>
        </w:rPr>
        <w:t>:</w:t>
      </w:r>
    </w:p>
    <w:p w14:paraId="59C190D5"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بزون (2017): قدم دراسة موجزة حول البنية السردية لرواية "سندريلات مسقط" وشخصياتها. وقد قدّمت هذه الدراسة شرحًا حول السرد وتحليلًا محدودًا لشخصيات الرواية ورؤية الكاتبة. كما تطرق الباحث إلى سرد حمد، وقدم شرحًا عامًا حول دور المرأة في هذه الرواية والمجتمع العُماني</w:t>
      </w:r>
      <w:r w:rsidRPr="00A9675D">
        <w:rPr>
          <w:rFonts w:ascii="Traditional Arabic" w:hAnsi="Traditional Arabic" w:cs="Traditional Arabic"/>
          <w:sz w:val="28"/>
          <w:szCs w:val="28"/>
        </w:rPr>
        <w:t>.</w:t>
      </w:r>
    </w:p>
    <w:p w14:paraId="71DE1FB5" w14:textId="065271E1" w:rsidR="002E6E11" w:rsidRPr="00A9675D" w:rsidRDefault="002E6E11" w:rsidP="002E6E11">
      <w:pPr>
        <w:bidi/>
        <w:jc w:val="both"/>
        <w:rPr>
          <w:rFonts w:ascii="Traditional Arabic" w:hAnsi="Traditional Arabic" w:cs="Traditional Arabic"/>
          <w:sz w:val="28"/>
          <w:szCs w:val="28"/>
        </w:rPr>
      </w:pPr>
      <w:r w:rsidRPr="00A9675D">
        <w:rPr>
          <w:rFonts w:ascii="Traditional Arabic" w:hAnsi="Traditional Arabic" w:cs="Traditional Arabic"/>
          <w:sz w:val="28"/>
          <w:szCs w:val="28"/>
          <w:rtl/>
        </w:rPr>
        <w:t xml:space="preserve">سليمان المعمري (2018): تناول بالدراسة والتحليل النقد السيميائي لثلاث روايات عُمانية. ناقشت هذه الدراسة روايات "نارنجة" لجوخة الحارثي، و"بن سولع" لعلي المعمري، و"سندريلات مسقط" لهدى حمد من منظور سيميائي. عند تحليل رواية "سندريلات مسقط"، قام الباحث بعد تقديم الرواية بدراسة منفصلة لكل من الشخصيات النسائية الثماني، وغلاف الرواية، والفضاءين الزماني والمكاني للقصة، والكاتبة من منظور النقد السيميائي. كما تناولت الدراسة الروابط بين حكايات الشخصيات النسائية في القصة. ومع ذلك، لم تقدم الدراسة المذكورة تحليلًا مفاهيميًا عميقًا لهموم المرأة الأنثوية </w:t>
      </w:r>
      <w:r w:rsidRPr="005D1C47">
        <w:rPr>
          <w:rFonts w:ascii="Traditional Arabic" w:hAnsi="Traditional Arabic" w:cs="Traditional Arabic" w:hint="cs"/>
          <w:sz w:val="28"/>
          <w:szCs w:val="28"/>
          <w:highlight w:val="yellow"/>
          <w:rtl/>
        </w:rPr>
        <w:t>و</w:t>
      </w:r>
      <w:r w:rsidRPr="005D1C47">
        <w:rPr>
          <w:rFonts w:ascii="Traditional Arabic" w:hAnsi="Traditional Arabic" w:cs="Traditional Arabic"/>
          <w:sz w:val="28"/>
          <w:szCs w:val="28"/>
          <w:highlight w:val="yellow"/>
          <w:rtl/>
        </w:rPr>
        <w:t>تحد</w:t>
      </w:r>
      <w:r w:rsidRPr="005D1C47">
        <w:rPr>
          <w:rFonts w:ascii="Traditional Arabic" w:hAnsi="Traditional Arabic" w:cs="Traditional Arabic" w:hint="cs"/>
          <w:sz w:val="28"/>
          <w:szCs w:val="28"/>
          <w:highlight w:val="yellow"/>
          <w:rtl/>
        </w:rPr>
        <w:t>ی</w:t>
      </w:r>
      <w:r w:rsidRPr="005D1C47">
        <w:rPr>
          <w:rFonts w:ascii="Traditional Arabic" w:hAnsi="Traditional Arabic" w:cs="Traditional Arabic" w:hint="eastAsia"/>
          <w:sz w:val="28"/>
          <w:szCs w:val="28"/>
          <w:highlight w:val="yellow"/>
          <w:rtl/>
        </w:rPr>
        <w:t>ات</w:t>
      </w:r>
      <w:r w:rsidRPr="005D1C47">
        <w:rPr>
          <w:rFonts w:ascii="Traditional Arabic" w:hAnsi="Traditional Arabic" w:cs="Traditional Arabic"/>
          <w:sz w:val="28"/>
          <w:szCs w:val="28"/>
          <w:highlight w:val="yellow"/>
          <w:rtl/>
        </w:rPr>
        <w:t xml:space="preserve"> تعتر</w:t>
      </w:r>
      <w:r w:rsidRPr="005D1C47">
        <w:rPr>
          <w:rFonts w:ascii="Traditional Arabic" w:hAnsi="Traditional Arabic" w:cs="Traditional Arabic" w:hint="cs"/>
          <w:sz w:val="28"/>
          <w:szCs w:val="28"/>
          <w:highlight w:val="yellow"/>
          <w:rtl/>
        </w:rPr>
        <w:t>ی</w:t>
      </w:r>
      <w:r w:rsidRPr="005D1C47">
        <w:rPr>
          <w:rFonts w:ascii="Traditional Arabic" w:hAnsi="Traditional Arabic" w:cs="Traditional Arabic"/>
          <w:sz w:val="28"/>
          <w:szCs w:val="28"/>
          <w:highlight w:val="yellow"/>
          <w:rtl/>
        </w:rPr>
        <w:t xml:space="preserve"> ح</w:t>
      </w:r>
      <w:r w:rsidRPr="005D1C47">
        <w:rPr>
          <w:rFonts w:ascii="Traditional Arabic" w:hAnsi="Traditional Arabic" w:cs="Traditional Arabic" w:hint="cs"/>
          <w:sz w:val="28"/>
          <w:szCs w:val="28"/>
          <w:highlight w:val="yellow"/>
          <w:rtl/>
        </w:rPr>
        <w:t>ی</w:t>
      </w:r>
      <w:r w:rsidRPr="005D1C47">
        <w:rPr>
          <w:rFonts w:ascii="Traditional Arabic" w:hAnsi="Traditional Arabic" w:cs="Traditional Arabic" w:hint="eastAsia"/>
          <w:sz w:val="28"/>
          <w:szCs w:val="28"/>
          <w:highlight w:val="yellow"/>
          <w:rtl/>
        </w:rPr>
        <w:t>اة</w:t>
      </w:r>
      <w:r>
        <w:rPr>
          <w:rFonts w:ascii="Traditional Arabic" w:hAnsi="Traditional Arabic" w:cs="Traditional Arabic" w:hint="cs"/>
          <w:sz w:val="28"/>
          <w:szCs w:val="28"/>
          <w:rtl/>
        </w:rPr>
        <w:t xml:space="preserve"> </w:t>
      </w:r>
      <w:r w:rsidRPr="00A9675D">
        <w:rPr>
          <w:rFonts w:ascii="Traditional Arabic" w:hAnsi="Traditional Arabic" w:cs="Traditional Arabic"/>
          <w:sz w:val="28"/>
          <w:szCs w:val="28"/>
          <w:rtl/>
        </w:rPr>
        <w:t>شخصيات الرواية بوصفها جنسًا أنثويًا</w:t>
      </w:r>
      <w:r>
        <w:rPr>
          <w:rFonts w:ascii="Traditional Arabic" w:hAnsi="Traditional Arabic" w:cs="Traditional Arabic" w:hint="cs"/>
          <w:sz w:val="28"/>
          <w:szCs w:val="28"/>
          <w:rtl/>
        </w:rPr>
        <w:t>.</w:t>
      </w:r>
    </w:p>
    <w:p w14:paraId="717344E8"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 xml:space="preserve">غلامي وزملاؤه (2022): في دراستهم، قاموا بقراءة أربع روايات لكاتبات جزائريات قراءة نسوية بناءً على نظرية "النقد الوضعي" (نقد وضعية المرأة) لإيلين شوالتر. توصل مؤلفو هذه الدراسة إلى أن هذه الكاتبات </w:t>
      </w:r>
      <w:r w:rsidRPr="005D1C47">
        <w:rPr>
          <w:rFonts w:ascii="Traditional Arabic" w:hAnsi="Traditional Arabic" w:cs="Traditional Arabic"/>
          <w:sz w:val="28"/>
          <w:szCs w:val="28"/>
          <w:highlight w:val="yellow"/>
          <w:rtl/>
        </w:rPr>
        <w:t>قد حقق</w:t>
      </w:r>
      <w:r w:rsidRPr="005D1C47">
        <w:rPr>
          <w:rFonts w:ascii="Traditional Arabic" w:hAnsi="Traditional Arabic" w:cs="Traditional Arabic" w:hint="cs"/>
          <w:sz w:val="28"/>
          <w:szCs w:val="28"/>
          <w:highlight w:val="yellow"/>
          <w:rtl/>
        </w:rPr>
        <w:t>ن</w:t>
      </w:r>
      <w:r w:rsidRPr="00A9675D">
        <w:rPr>
          <w:rFonts w:ascii="Traditional Arabic" w:hAnsi="Traditional Arabic" w:cs="Traditional Arabic"/>
          <w:sz w:val="28"/>
          <w:szCs w:val="28"/>
          <w:rtl/>
        </w:rPr>
        <w:t xml:space="preserve"> نجاحًا محدودًا جدًا في اجتياز المراحل الثلاث لنظرية شوالتر النقدية (من التقليد إلى بلوغ الهوية الفردية)، وكانت أحلام مستغانمي هي الوحيدة التي نجحت إلى حد ما في تصوير بلوغ المرأة لهويتها الفردية. يكمن الاختلاف بين الدراسة المذكورة والبحث الحالي في موضوع الدراسة، أي اختلاف الروايات والكاتبات محل التحليل النسوي الأدبي</w:t>
      </w:r>
      <w:r w:rsidRPr="00A9675D">
        <w:rPr>
          <w:rFonts w:ascii="Traditional Arabic" w:hAnsi="Traditional Arabic" w:cs="Traditional Arabic"/>
          <w:sz w:val="28"/>
          <w:szCs w:val="28"/>
        </w:rPr>
        <w:t>.</w:t>
      </w:r>
    </w:p>
    <w:p w14:paraId="6E2776AF"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زبير (2022): درست الدراسة أدب الكاتبة زليخة السعودي في سياق ما بعد الاستعمار، مستخدمة منهج "النقد الجيني" (</w:t>
      </w:r>
      <w:proofErr w:type="spellStart"/>
      <w:r w:rsidRPr="00A9675D">
        <w:rPr>
          <w:rFonts w:ascii="Traditional Arabic" w:hAnsi="Traditional Arabic" w:cs="Traditional Arabic"/>
          <w:sz w:val="28"/>
          <w:szCs w:val="28"/>
        </w:rPr>
        <w:t>Gynocriticism</w:t>
      </w:r>
      <w:proofErr w:type="spellEnd"/>
      <w:r w:rsidRPr="00A9675D">
        <w:rPr>
          <w:rFonts w:ascii="Traditional Arabic" w:hAnsi="Traditional Arabic" w:cs="Traditional Arabic"/>
          <w:sz w:val="28"/>
          <w:szCs w:val="28"/>
          <w:rtl/>
        </w:rPr>
        <w:t>) لإيلين شوالتر. ركزت على الروايات والأعمال الأدبية للكاتبة، مع تحليل مفصل لموضوعات الريف مقابل المدينة، عالم المرأة الداخلي، الثورة والرومانسية، وكذلك البناء والأسلوب اللغوي في النصوص. كما تناولت الدراسة كيفية تصوير النساء ككيانات مستقلة داخل الفضاءات الاجتماعية والثقافية، مع التأكيد على التوازن بين الهم الوطني والهم الأنثوي. ومع ذلك، لم تقدم الدراسة تحليلًا عميقًا لتطور الهوية النسوية المستقلة أو مسار اكتسابها وفق نموذج شوالتر.</w:t>
      </w:r>
    </w:p>
    <w:p w14:paraId="7B0101E5"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 xml:space="preserve">دهقاني وبشيري (2024): أجرى الباحثان دراسة مقارنة بين روايتي "سندريلات مسقط" لهدى حمد (الكاتبة العُمانية) و"طعم گس خرمالو" (الطعم القابض للكاكي) لزويا بيرزاد (الكاتبة الإيرانية). في هذه الدراسة، قام </w:t>
      </w:r>
      <w:r w:rsidRPr="00CD42AE">
        <w:rPr>
          <w:rFonts w:ascii="Traditional Arabic" w:hAnsi="Traditional Arabic" w:cs="Traditional Arabic"/>
          <w:sz w:val="28"/>
          <w:szCs w:val="28"/>
          <w:highlight w:val="yellow"/>
          <w:rtl/>
        </w:rPr>
        <w:t>المولفان</w:t>
      </w:r>
      <w:r w:rsidRPr="00A9675D">
        <w:rPr>
          <w:rFonts w:ascii="Traditional Arabic" w:hAnsi="Traditional Arabic" w:cs="Traditional Arabic"/>
          <w:sz w:val="28"/>
          <w:szCs w:val="28"/>
          <w:rtl/>
        </w:rPr>
        <w:t xml:space="preserve"> بتحليل العناصر النسوية في هاتين الروايتين بالاعتماد على المدرسة الأمريكية في الأدب المقارن. كانت المفاهيم النسوية المشتركة بين الروايتين هي: النظام الأبوي، والعنف العاطفي، </w:t>
      </w:r>
      <w:r w:rsidRPr="00A9675D">
        <w:rPr>
          <w:rFonts w:ascii="Traditional Arabic" w:hAnsi="Traditional Arabic" w:cs="Traditional Arabic"/>
          <w:sz w:val="28"/>
          <w:szCs w:val="28"/>
          <w:rtl/>
        </w:rPr>
        <w:lastRenderedPageBreak/>
        <w:t xml:space="preserve">وعداء المرأة للمرأة، وسعي النساء لكسب رضا الرجال. وتوصلت الدراسة إلى أن الكاتبتين حاولتا، من خلال التوعية الموجهة للقراء، السعي لمحاربة الفكر الأبوي وتعزيز المساواة بين الجنسين. حيث أن البحث الحالي يدرس بشكل منفصل ومركّز العناصر النسوية والأنثوية في رواية "سندريلات مسقط"، وسيتم ذلك بالاعتماد على </w:t>
      </w:r>
      <w:r>
        <w:rPr>
          <w:rFonts w:ascii="Traditional Arabic" w:hAnsi="Traditional Arabic" w:cs="Traditional Arabic" w:hint="cs"/>
          <w:sz w:val="28"/>
          <w:szCs w:val="28"/>
          <w:rtl/>
        </w:rPr>
        <w:t>النمط</w:t>
      </w:r>
      <w:r w:rsidRPr="00A9675D">
        <w:rPr>
          <w:rFonts w:ascii="Traditional Arabic" w:hAnsi="Traditional Arabic" w:cs="Traditional Arabic"/>
          <w:sz w:val="28"/>
          <w:szCs w:val="28"/>
          <w:rtl/>
        </w:rPr>
        <w:t xml:space="preserve"> النقدي لإيلين شوالتر، فإنه سيكون هناك فرق واضح بين تلك الدراسة والبحث الحالي من حيث تحليل العناصر والمصاديق الأنثوية الموجودة في السرد</w:t>
      </w:r>
      <w:r w:rsidRPr="00A9675D">
        <w:rPr>
          <w:rFonts w:ascii="Traditional Arabic" w:hAnsi="Traditional Arabic" w:cs="Traditional Arabic"/>
          <w:sz w:val="28"/>
          <w:szCs w:val="28"/>
        </w:rPr>
        <w:t>.</w:t>
      </w:r>
    </w:p>
    <w:p w14:paraId="70B2A4CD" w14:textId="77777777" w:rsidR="002E6E11" w:rsidRPr="00A9675D" w:rsidRDefault="002E6E11" w:rsidP="002E6E11">
      <w:pPr>
        <w:bidi/>
        <w:jc w:val="both"/>
        <w:rPr>
          <w:rFonts w:ascii="Traditional Arabic" w:hAnsi="Traditional Arabic" w:cs="Traditional Arabic"/>
          <w:sz w:val="28"/>
          <w:szCs w:val="28"/>
        </w:rPr>
      </w:pPr>
      <w:r w:rsidRPr="00C360E5">
        <w:rPr>
          <w:rFonts w:ascii="Traditional Arabic" w:hAnsi="Traditional Arabic" w:cs="Traditional Arabic"/>
          <w:sz w:val="28"/>
          <w:szCs w:val="28"/>
          <w:highlight w:val="yellow"/>
          <w:rtl/>
        </w:rPr>
        <w:t>ونظرًا لعدم وجود دراسة منفصلة لرواية "سندريلات مسقط" تعتمد على المفاهيم الأنثوية وتستند إلى نموذج محدد في مجال هذا النقد، وتحلل أبعادها المختلفة تحليلًا شاملاً خاصة وأن الأدب أداة للتعبير عن الحقائق الاجتماعية ويجب أن يكون قادرًا على طرح هموم وتحديات النساء كجزء من هذه الحقيقة الاجتماعية</w:t>
      </w:r>
      <w:r w:rsidRPr="00C360E5">
        <w:rPr>
          <w:rFonts w:ascii="Traditional Arabic" w:hAnsi="Traditional Arabic" w:cs="Traditional Arabic" w:hint="cs"/>
          <w:sz w:val="28"/>
          <w:szCs w:val="28"/>
          <w:highlight w:val="yellow"/>
          <w:rtl/>
        </w:rPr>
        <w:t>،</w:t>
      </w:r>
      <w:r w:rsidRPr="00C360E5">
        <w:rPr>
          <w:rFonts w:ascii="Traditional Arabic" w:hAnsi="Traditional Arabic" w:cs="Traditional Arabic"/>
          <w:sz w:val="28"/>
          <w:szCs w:val="28"/>
          <w:highlight w:val="yellow"/>
          <w:rtl/>
        </w:rPr>
        <w:t xml:space="preserve"> فإن دراسة الأعمال الأدبية التي تركز على النساء وقضاياهن يمكن أن توعي الجمهور وتمهّد الطريق لاتخاذ خطوات نحو حل هذه المشكلات.</w:t>
      </w:r>
    </w:p>
    <w:p w14:paraId="10693AFF" w14:textId="77777777" w:rsidR="002E6E11" w:rsidRDefault="002E6E11" w:rsidP="002E6E11">
      <w:pPr>
        <w:bidi/>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2</w:t>
      </w:r>
      <w:r w:rsidRPr="00A9675D">
        <w:rPr>
          <w:rFonts w:ascii="Traditional Arabic" w:hAnsi="Traditional Arabic" w:cs="Traditional Arabic"/>
          <w:b/>
          <w:bCs/>
          <w:sz w:val="28"/>
          <w:szCs w:val="28"/>
        </w:rPr>
        <w:t xml:space="preserve">. </w:t>
      </w:r>
      <w:r w:rsidRPr="00A9675D">
        <w:rPr>
          <w:rFonts w:ascii="Traditional Arabic" w:hAnsi="Traditional Arabic" w:cs="Traditional Arabic"/>
          <w:b/>
          <w:bCs/>
          <w:sz w:val="28"/>
          <w:szCs w:val="28"/>
          <w:rtl/>
        </w:rPr>
        <w:t>الإطار النظري</w:t>
      </w:r>
    </w:p>
    <w:p w14:paraId="3008F91E" w14:textId="77777777" w:rsidR="002E6E11" w:rsidRPr="00E8133F" w:rsidRDefault="002E6E11" w:rsidP="002E6E11">
      <w:pPr>
        <w:bidi/>
        <w:jc w:val="both"/>
        <w:rPr>
          <w:rFonts w:ascii="Traditional Arabic" w:hAnsi="Traditional Arabic" w:cs="Traditional Arabic"/>
          <w:sz w:val="28"/>
          <w:szCs w:val="28"/>
          <w:rtl/>
        </w:rPr>
      </w:pPr>
      <w:r w:rsidRPr="00E8133F">
        <w:rPr>
          <w:rFonts w:ascii="Traditional Arabic" w:hAnsi="Traditional Arabic" w:cs="Traditional Arabic"/>
          <w:sz w:val="28"/>
          <w:szCs w:val="28"/>
          <w:highlight w:val="yellow"/>
          <w:rtl/>
        </w:rPr>
        <w:t>قبل الانتقال إلى دراسة نمط شوالتر بشكل مفصل، من الضروري توضيح دور الإطار النظري في هذا البحث، إذ يتيح تحديد المفاهيم والمصطلحات الأساسية المستخدمة في تحليل النص الأدبي، ويسهم في وضع الرواية في سياقها الاجتماعي والثقافي. كما يوفر الإطار النظري الأسس المنهجية لتطبيق النقد النسوي، موضحًا كيفية كشف هذا المنهج للتمثيلات المتعلقة بالجنس والهوية النسائية والعلاقات الاجتماعية داخل النص، بما يمكّن الباحث من التوصل إلى فهم أعمق للتفاعلات بين الشخصيات والسرد الأدبي والفضاءات الاجتماعية التي يعكسها.</w:t>
      </w:r>
    </w:p>
    <w:p w14:paraId="6349BB61" w14:textId="77777777" w:rsidR="002E6E11" w:rsidRPr="00A9675D" w:rsidRDefault="002E6E11" w:rsidP="002E6E11">
      <w:pPr>
        <w:bidi/>
        <w:jc w:val="both"/>
        <w:rPr>
          <w:rFonts w:ascii="Traditional Arabic" w:hAnsi="Traditional Arabic" w:cs="Traditional Arabic"/>
          <w:b/>
          <w:bCs/>
          <w:sz w:val="28"/>
          <w:szCs w:val="28"/>
          <w:rtl/>
        </w:rPr>
      </w:pPr>
      <w:r w:rsidRPr="009B4593">
        <w:rPr>
          <w:rFonts w:ascii="Traditional Arabic" w:hAnsi="Traditional Arabic" w:cs="Traditional Arabic" w:hint="cs"/>
          <w:b/>
          <w:bCs/>
          <w:sz w:val="28"/>
          <w:szCs w:val="28"/>
          <w:highlight w:val="yellow"/>
          <w:rtl/>
        </w:rPr>
        <w:t>2</w:t>
      </w:r>
      <w:r w:rsidRPr="009B4593">
        <w:rPr>
          <w:rFonts w:ascii="Traditional Arabic" w:hAnsi="Traditional Arabic" w:cs="Traditional Arabic"/>
          <w:b/>
          <w:bCs/>
          <w:sz w:val="28"/>
          <w:szCs w:val="28"/>
          <w:highlight w:val="yellow"/>
          <w:rtl/>
        </w:rPr>
        <w:t>-1</w:t>
      </w:r>
      <w:r w:rsidRPr="009B4593">
        <w:rPr>
          <w:rFonts w:ascii="Traditional Arabic" w:hAnsi="Traditional Arabic" w:cs="Traditional Arabic"/>
          <w:b/>
          <w:bCs/>
          <w:sz w:val="28"/>
          <w:szCs w:val="28"/>
          <w:highlight w:val="yellow"/>
        </w:rPr>
        <w:t xml:space="preserve">. </w:t>
      </w:r>
      <w:r w:rsidRPr="009B4593">
        <w:rPr>
          <w:rFonts w:ascii="Traditional Arabic" w:hAnsi="Traditional Arabic" w:cs="Traditional Arabic"/>
          <w:b/>
          <w:bCs/>
          <w:sz w:val="28"/>
          <w:szCs w:val="28"/>
          <w:highlight w:val="yellow"/>
          <w:rtl/>
        </w:rPr>
        <w:t>النقد النسوي ون</w:t>
      </w:r>
      <w:r w:rsidRPr="009B4593">
        <w:rPr>
          <w:rFonts w:ascii="Traditional Arabic" w:hAnsi="Traditional Arabic" w:cs="Traditional Arabic" w:hint="cs"/>
          <w:b/>
          <w:bCs/>
          <w:sz w:val="28"/>
          <w:szCs w:val="28"/>
          <w:highlight w:val="yellow"/>
          <w:rtl/>
        </w:rPr>
        <w:t>مط</w:t>
      </w:r>
      <w:r w:rsidRPr="009B4593">
        <w:rPr>
          <w:rFonts w:ascii="Traditional Arabic" w:hAnsi="Traditional Arabic" w:cs="Traditional Arabic"/>
          <w:b/>
          <w:bCs/>
          <w:sz w:val="28"/>
          <w:szCs w:val="28"/>
          <w:highlight w:val="yellow"/>
          <w:rtl/>
        </w:rPr>
        <w:t xml:space="preserve"> شوالتر</w:t>
      </w:r>
    </w:p>
    <w:p w14:paraId="1EA65D05"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 xml:space="preserve">تعود جذور وأسس تشكل النقد النسوي إلى الحركة الاجتماعية الاحتجاجية التي سعت لإقامة المساواة بين المرأة والرجل في الغرب. يسعى النقد النسوي إلى تعزيز حضور جنس "المرأة" في الأدب، ويبحث عن وسيلة لتوعيتها للمطالبة بحقوقها على قدم المساواة مع الرجل وتحقيق </w:t>
      </w:r>
      <w:r w:rsidRPr="00CD42AE">
        <w:rPr>
          <w:rFonts w:ascii="Traditional Arabic" w:hAnsi="Traditional Arabic" w:cs="Traditional Arabic"/>
          <w:sz w:val="28"/>
          <w:szCs w:val="28"/>
          <w:highlight w:val="yellow"/>
          <w:rtl/>
        </w:rPr>
        <w:t>العدالة والإنصاف</w:t>
      </w:r>
      <w:r w:rsidRPr="00A9675D">
        <w:rPr>
          <w:rFonts w:ascii="Traditional Arabic" w:hAnsi="Traditional Arabic" w:cs="Traditional Arabic"/>
          <w:sz w:val="28"/>
          <w:szCs w:val="28"/>
        </w:rPr>
        <w:t>.</w:t>
      </w:r>
    </w:p>
    <w:p w14:paraId="6F4B480E"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ظهرت الأسس الأولى لتشكل حركة النسوية لأول مرة في تسعينيات القرن العشرين في الغرب. تعتمد مبادئ النقد النسوي على نفس مبادئ حركة النساء اللواتي طالبن بتحقيق المساواة في الحقوق بين المرأة والرجل في مختلف المجالات الاجتماعية والاقتصادية والثقافية في العالم الغربي (رشيد بعلي، 2011: 170). يثبت النقد النسوي مكانة المرأة كعضو في المجتمع من خلال تحديد وإبراز صور كراهية النساء (الميسوجينية) الموجودة في الأعمال الأدبية والقصصية (موران، 2009: 309)</w:t>
      </w:r>
      <w:r w:rsidRPr="00A9675D">
        <w:rPr>
          <w:rFonts w:ascii="Traditional Arabic" w:hAnsi="Traditional Arabic" w:cs="Traditional Arabic"/>
          <w:sz w:val="28"/>
          <w:szCs w:val="28"/>
        </w:rPr>
        <w:t>.</w:t>
      </w:r>
    </w:p>
    <w:p w14:paraId="3618269D"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 xml:space="preserve">ينتقد النقد النسوي المجتمع الأبوي والأدب الذكوري المحور، كما يسعى إلى التعريف بثقافات وعادات وتقاليد الشعوب المختلفة، ويحاول من خلال تقديم حلول أن يكون فاعلاً في مواجهة كراهية النساء في المجتمع. يسعى النقد النسوي إلى تصوير العنف الذي يمارسه الرجال </w:t>
      </w:r>
      <w:r w:rsidRPr="00A9675D">
        <w:rPr>
          <w:rFonts w:ascii="Traditional Arabic" w:hAnsi="Traditional Arabic" w:cs="Traditional Arabic"/>
          <w:sz w:val="28"/>
          <w:szCs w:val="28"/>
          <w:rtl/>
        </w:rPr>
        <w:lastRenderedPageBreak/>
        <w:t>ضد النساء، ويدين تفوق الجنس الذكوري مقارنة بالنساء ويكافحه. ويمكن اعتبار طريق التعرف على الروايات النسوية هو تصوير النساء اللواتي يتعرضن للظلم والإيذاء من قبل الرجال بجميع أبعاده (تايسن، 2013: 180)</w:t>
      </w:r>
      <w:r w:rsidRPr="00A9675D">
        <w:rPr>
          <w:rFonts w:ascii="Traditional Arabic" w:hAnsi="Traditional Arabic" w:cs="Traditional Arabic"/>
          <w:sz w:val="28"/>
          <w:szCs w:val="28"/>
        </w:rPr>
        <w:t>.</w:t>
      </w:r>
    </w:p>
    <w:p w14:paraId="578E33AB"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تُعد إيلين شوالتر (مواليد 1941) واحدة من أكثر الناقدات الأدبيات والنسويات الأمريكيات تأثيرًا، حيث أثّرت في النقد الأدبي النسوي من خلال تطويرها لمفهوم النسوية وأدائها. نشرت في عام 1977 كتابها "أدب خاص بهن: الروائعات البريطانيات من برونتي إلى ليسينغ</w:t>
      </w:r>
      <w:r w:rsidRPr="00A9675D">
        <w:rPr>
          <w:rFonts w:ascii="Traditional Arabic" w:hAnsi="Traditional Arabic" w:cs="Traditional Arabic"/>
          <w:sz w:val="28"/>
          <w:szCs w:val="28"/>
        </w:rPr>
        <w:t>"</w:t>
      </w:r>
      <w:r>
        <w:rPr>
          <w:rStyle w:val="FootnoteReference"/>
          <w:rFonts w:ascii="Traditional Arabic" w:hAnsi="Traditional Arabic" w:cs="Traditional Arabic"/>
          <w:sz w:val="28"/>
          <w:szCs w:val="28"/>
        </w:rPr>
        <w:footnoteReference w:id="3"/>
      </w:r>
      <w:r w:rsidRPr="00A9675D">
        <w:rPr>
          <w:rFonts w:ascii="Traditional Arabic" w:hAnsi="Traditional Arabic" w:cs="Traditional Arabic"/>
          <w:sz w:val="28"/>
          <w:szCs w:val="28"/>
          <w:rtl/>
        </w:rPr>
        <w:t>، الذي سعت فيه إلى إحياء الاهتمام بالكاتبات النساء المنسيات في التاريخ الأدبي البريطاني. طرحَت شوالتر في مقالها "نحو شعرية نسوية</w:t>
      </w:r>
      <w:r w:rsidRPr="00A9675D">
        <w:rPr>
          <w:rFonts w:ascii="Traditional Arabic" w:hAnsi="Traditional Arabic" w:cs="Traditional Arabic"/>
          <w:sz w:val="28"/>
          <w:szCs w:val="28"/>
        </w:rPr>
        <w:t xml:space="preserve">" (Towards A Feminist Poetics) </w:t>
      </w:r>
      <w:r w:rsidRPr="00A9675D">
        <w:rPr>
          <w:rFonts w:ascii="Traditional Arabic" w:hAnsi="Traditional Arabic" w:cs="Traditional Arabic"/>
          <w:sz w:val="28"/>
          <w:szCs w:val="28"/>
          <w:rtl/>
        </w:rPr>
        <w:t>ثلاث مراحل للنقد الأدبي النسوي</w:t>
      </w:r>
      <w:r w:rsidRPr="00A9675D">
        <w:rPr>
          <w:rFonts w:ascii="Traditional Arabic" w:hAnsi="Traditional Arabic" w:cs="Traditional Arabic"/>
          <w:sz w:val="28"/>
          <w:szCs w:val="28"/>
        </w:rPr>
        <w:t>.</w:t>
      </w:r>
    </w:p>
    <w:p w14:paraId="056110C6" w14:textId="77777777" w:rsidR="002E6E11"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المرحلة الأولى والأصعب</w:t>
      </w:r>
      <w:r w:rsidRPr="00C360E5">
        <w:rPr>
          <w:rFonts w:ascii="Traditional Arabic" w:hAnsi="Traditional Arabic" w:cs="Traditional Arabic"/>
          <w:sz w:val="28"/>
          <w:szCs w:val="28"/>
          <w:highlight w:val="yellow"/>
          <w:rtl/>
        </w:rPr>
        <w:t xml:space="preserve">، وهي </w:t>
      </w:r>
      <w:r>
        <w:rPr>
          <w:rFonts w:ascii="Traditional Arabic" w:hAnsi="Traditional Arabic" w:cs="Traditional Arabic" w:hint="cs"/>
          <w:sz w:val="28"/>
          <w:szCs w:val="28"/>
          <w:highlight w:val="yellow"/>
          <w:rtl/>
        </w:rPr>
        <w:t>ال</w:t>
      </w:r>
      <w:r w:rsidRPr="00C360E5">
        <w:rPr>
          <w:rFonts w:ascii="Traditional Arabic" w:hAnsi="Traditional Arabic" w:cs="Traditional Arabic"/>
          <w:sz w:val="28"/>
          <w:szCs w:val="28"/>
          <w:highlight w:val="yellow"/>
          <w:rtl/>
        </w:rPr>
        <w:t xml:space="preserve">مرحلة الأنثوية </w:t>
      </w:r>
      <w:r w:rsidRPr="00C360E5">
        <w:rPr>
          <w:rFonts w:ascii="Traditional Arabic" w:hAnsi="Traditional Arabic" w:cs="Traditional Arabic" w:hint="cs"/>
          <w:sz w:val="28"/>
          <w:szCs w:val="28"/>
          <w:highlight w:val="yellow"/>
          <w:rtl/>
        </w:rPr>
        <w:t>(</w:t>
      </w:r>
      <w:r w:rsidRPr="00C360E5">
        <w:rPr>
          <w:rFonts w:ascii="Traditional Arabic" w:hAnsi="Traditional Arabic" w:cs="Traditional Arabic"/>
          <w:sz w:val="28"/>
          <w:szCs w:val="28"/>
          <w:highlight w:val="yellow"/>
          <w:rtl/>
        </w:rPr>
        <w:t>الانصياع والتقلي</w:t>
      </w:r>
      <w:r w:rsidRPr="00C360E5">
        <w:rPr>
          <w:rFonts w:ascii="Traditional Arabic" w:hAnsi="Traditional Arabic" w:cs="Traditional Arabic" w:hint="cs"/>
          <w:sz w:val="28"/>
          <w:szCs w:val="28"/>
          <w:highlight w:val="yellow"/>
          <w:rtl/>
        </w:rPr>
        <w:t>د</w:t>
      </w:r>
      <w:r>
        <w:rPr>
          <w:rFonts w:ascii="Traditional Arabic" w:hAnsi="Traditional Arabic" w:cs="Traditional Arabic" w:hint="cs"/>
          <w:sz w:val="28"/>
          <w:szCs w:val="28"/>
          <w:rtl/>
        </w:rPr>
        <w:t xml:space="preserve">)، </w:t>
      </w:r>
      <w:r w:rsidRPr="00A9675D">
        <w:rPr>
          <w:rFonts w:ascii="Traditional Arabic" w:hAnsi="Traditional Arabic" w:cs="Traditional Arabic"/>
          <w:sz w:val="28"/>
          <w:szCs w:val="28"/>
        </w:rPr>
        <w:t>(Feminine Phase)</w:t>
      </w:r>
      <w:r w:rsidRPr="00A9675D">
        <w:rPr>
          <w:rFonts w:ascii="Traditional Arabic" w:hAnsi="Traditional Arabic" w:cs="Traditional Arabic"/>
          <w:sz w:val="28"/>
          <w:szCs w:val="28"/>
          <w:rtl/>
        </w:rPr>
        <w:t xml:space="preserve">، التي غطت الجزء الأكبر من القرن التاسع عشر، ارتبطت بتقييد إبداع النساء وتشكلت بشكل رئيسي تحت تأثير المجتمع الأبوي. خلال هذه الفترة، كانت كتابات النساء تقلد عادة الأساليب والقيم الذكورية السائدة، وكانت الهوية الأنثوية المستقلة أقل ظهورًا فيها. تعتبر شوالتر أن هذه الفترة، التي صاحَبَها بدء ظهور </w:t>
      </w:r>
      <w:r w:rsidRPr="001424B8">
        <w:rPr>
          <w:rFonts w:ascii="Traditional Arabic" w:hAnsi="Traditional Arabic" w:cs="Traditional Arabic"/>
          <w:sz w:val="28"/>
          <w:szCs w:val="28"/>
          <w:highlight w:val="yellow"/>
          <w:rtl/>
        </w:rPr>
        <w:t>الوعي السياسي</w:t>
      </w:r>
      <w:r w:rsidRPr="001424B8">
        <w:rPr>
          <w:rFonts w:ascii="Traditional Arabic" w:hAnsi="Traditional Arabic" w:cs="Traditional Arabic"/>
          <w:sz w:val="28"/>
          <w:szCs w:val="28"/>
          <w:highlight w:val="yellow"/>
        </w:rPr>
        <w:t xml:space="preserve"> </w:t>
      </w:r>
      <w:r w:rsidRPr="001424B8">
        <w:rPr>
          <w:rFonts w:ascii="Traditional Arabic" w:hAnsi="Traditional Arabic" w:cs="Traditional Arabic"/>
          <w:sz w:val="28"/>
          <w:szCs w:val="28"/>
          <w:highlight w:val="yellow"/>
          <w:rtl/>
        </w:rPr>
        <w:t>لدى</w:t>
      </w:r>
      <w:r w:rsidRPr="001424B8">
        <w:rPr>
          <w:rFonts w:ascii="Traditional Arabic" w:hAnsi="Traditional Arabic" w:cs="Traditional Arabic"/>
          <w:sz w:val="28"/>
          <w:szCs w:val="28"/>
          <w:highlight w:val="yellow"/>
        </w:rPr>
        <w:t xml:space="preserve"> </w:t>
      </w:r>
      <w:r w:rsidRPr="001424B8">
        <w:rPr>
          <w:rFonts w:ascii="Traditional Arabic" w:hAnsi="Traditional Arabic" w:cs="Traditional Arabic"/>
          <w:sz w:val="28"/>
          <w:szCs w:val="28"/>
          <w:highlight w:val="yellow"/>
          <w:rtl/>
        </w:rPr>
        <w:t>للنساء</w:t>
      </w:r>
      <w:r w:rsidRPr="00A9675D">
        <w:rPr>
          <w:rFonts w:ascii="Traditional Arabic" w:hAnsi="Traditional Arabic" w:cs="Traditional Arabic"/>
          <w:sz w:val="28"/>
          <w:szCs w:val="28"/>
          <w:rtl/>
        </w:rPr>
        <w:t xml:space="preserve"> في أواخر ثمانينيات وتسعينيات القرن التاسع عشر، هي نقطة بداية مرحلة الاحتجاج</w:t>
      </w:r>
    </w:p>
    <w:p w14:paraId="77CD33C0" w14:textId="77777777" w:rsidR="002E6E11" w:rsidRDefault="002E6E11" w:rsidP="002E6E11">
      <w:pPr>
        <w:bidi/>
        <w:jc w:val="both"/>
        <w:rPr>
          <w:rFonts w:ascii="Traditional Arabic" w:hAnsi="Traditional Arabic" w:cs="Traditional Arabic"/>
          <w:sz w:val="28"/>
          <w:szCs w:val="28"/>
          <w:rtl/>
        </w:rPr>
      </w:pPr>
      <w:r w:rsidRPr="00084E60">
        <w:rPr>
          <w:rFonts w:ascii="Traditional Arabic" w:hAnsi="Traditional Arabic" w:cs="Traditional Arabic"/>
          <w:sz w:val="28"/>
          <w:szCs w:val="28"/>
          <w:highlight w:val="yellow"/>
          <w:rtl/>
        </w:rPr>
        <w:t xml:space="preserve">المرحلة النسوية </w:t>
      </w:r>
      <w:r w:rsidRPr="00084E60">
        <w:rPr>
          <w:rFonts w:ascii="Traditional Arabic" w:hAnsi="Traditional Arabic" w:cs="Traditional Arabic" w:hint="cs"/>
          <w:sz w:val="28"/>
          <w:szCs w:val="28"/>
          <w:highlight w:val="yellow"/>
          <w:rtl/>
        </w:rPr>
        <w:t xml:space="preserve">أو </w:t>
      </w:r>
      <w:r w:rsidRPr="00084E60">
        <w:rPr>
          <w:rFonts w:ascii="Traditional Arabic" w:hAnsi="Traditional Arabic" w:cs="Traditional Arabic"/>
          <w:sz w:val="28"/>
          <w:szCs w:val="28"/>
          <w:highlight w:val="yellow"/>
          <w:rtl/>
        </w:rPr>
        <w:t>مرحلة الاحتجا</w:t>
      </w:r>
      <w:r w:rsidRPr="00084E60">
        <w:rPr>
          <w:rFonts w:ascii="Traditional Arabic" w:hAnsi="Traditional Arabic" w:cs="Traditional Arabic" w:hint="cs"/>
          <w:sz w:val="28"/>
          <w:szCs w:val="28"/>
          <w:highlight w:val="yellow"/>
          <w:rtl/>
        </w:rPr>
        <w:t>ج</w:t>
      </w:r>
      <w:r>
        <w:rPr>
          <w:rFonts w:ascii="Traditional Arabic" w:hAnsi="Traditional Arabic" w:cs="Traditional Arabic" w:hint="cs"/>
          <w:sz w:val="28"/>
          <w:szCs w:val="28"/>
          <w:highlight w:val="yellow"/>
          <w:rtl/>
        </w:rPr>
        <w:t xml:space="preserve"> </w:t>
      </w:r>
      <w:r w:rsidRPr="00084E60">
        <w:rPr>
          <w:rFonts w:ascii="Traditional Arabic" w:hAnsi="Traditional Arabic" w:cs="Traditional Arabic" w:hint="cs"/>
          <w:sz w:val="28"/>
          <w:szCs w:val="28"/>
          <w:highlight w:val="yellow"/>
          <w:rtl/>
        </w:rPr>
        <w:t xml:space="preserve">( </w:t>
      </w:r>
      <w:r w:rsidRPr="00084E60">
        <w:rPr>
          <w:rFonts w:ascii="Traditional Arabic" w:hAnsi="Traditional Arabic" w:cs="Traditional Arabic"/>
          <w:sz w:val="28"/>
          <w:szCs w:val="28"/>
          <w:highlight w:val="yellow"/>
        </w:rPr>
        <w:t xml:space="preserve"> (Feminist Phase</w:t>
      </w:r>
      <w:r w:rsidRPr="00084E60">
        <w:rPr>
          <w:rFonts w:ascii="Traditional Arabic" w:hAnsi="Traditional Arabic" w:cs="Traditional Arabic" w:hint="cs"/>
          <w:sz w:val="28"/>
          <w:szCs w:val="28"/>
          <w:highlight w:val="yellow"/>
          <w:rtl/>
        </w:rPr>
        <w:t>:</w:t>
      </w:r>
      <w:r w:rsidRPr="00084E60">
        <w:rPr>
          <w:rFonts w:ascii="Traditional Arabic" w:hAnsi="Traditional Arabic" w:cs="Traditional Arabic"/>
          <w:sz w:val="28"/>
          <w:szCs w:val="28"/>
          <w:highlight w:val="yellow"/>
          <w:rtl/>
        </w:rPr>
        <w:t xml:space="preserve"> حدثت هذه المرحلة بين عامي 1880 و 1920 وحصول النساء على حق التصويت،</w:t>
      </w:r>
      <w:r w:rsidRPr="00A9675D">
        <w:rPr>
          <w:rFonts w:ascii="Traditional Arabic" w:hAnsi="Traditional Arabic" w:cs="Traditional Arabic"/>
          <w:sz w:val="28"/>
          <w:szCs w:val="28"/>
          <w:rtl/>
        </w:rPr>
        <w:t xml:space="preserve"> عُرفت بزيادة المطالبة باستقلالية النساء واحتجاجهن على الأوضاع القائمة. خلال هذه الفترة، حاولت الكاتبات، من خلال انتقاد القيود والمعايير الأبوية، طرح صوتهن المستقل في المجالين الاجتماعي والأدبي وتجاوز تقبل الأدوار التقليدية. في هذه المرحلة، ركّز النقاد على المظالم والأخطاء التي وُجهت إلى النساء في النصوص الأدبية، ورفضوا الأدوار التقليدية للمرأة. </w:t>
      </w:r>
    </w:p>
    <w:p w14:paraId="164732F4" w14:textId="77777777" w:rsidR="002E6E11" w:rsidRPr="00A9675D" w:rsidRDefault="002E6E11" w:rsidP="002E6E11">
      <w:pPr>
        <w:bidi/>
        <w:jc w:val="both"/>
        <w:rPr>
          <w:rFonts w:ascii="Traditional Arabic" w:hAnsi="Traditional Arabic" w:cs="Traditional Arabic"/>
          <w:sz w:val="28"/>
          <w:szCs w:val="28"/>
          <w:rtl/>
        </w:rPr>
      </w:pPr>
      <w:r w:rsidRPr="005850C6">
        <w:rPr>
          <w:rFonts w:ascii="Traditional Arabic" w:hAnsi="Traditional Arabic" w:cs="Traditional Arabic"/>
          <w:sz w:val="28"/>
          <w:szCs w:val="28"/>
          <w:highlight w:val="yellow"/>
          <w:rtl/>
        </w:rPr>
        <w:t>المرحلة الأنثى-المحور</w:t>
      </w:r>
      <w:r w:rsidRPr="005850C6">
        <w:rPr>
          <w:rFonts w:ascii="Traditional Arabic" w:hAnsi="Traditional Arabic" w:cs="Traditional Arabic" w:hint="cs"/>
          <w:sz w:val="28"/>
          <w:szCs w:val="28"/>
          <w:highlight w:val="yellow"/>
          <w:rtl/>
        </w:rPr>
        <w:t xml:space="preserve"> أو (</w:t>
      </w:r>
      <w:r w:rsidRPr="005850C6">
        <w:rPr>
          <w:rFonts w:ascii="Traditional Arabic" w:hAnsi="Traditional Arabic" w:cs="Traditional Arabic"/>
          <w:sz w:val="28"/>
          <w:szCs w:val="28"/>
          <w:highlight w:val="yellow"/>
          <w:rtl/>
        </w:rPr>
        <w:t>الهوية الفردية</w:t>
      </w:r>
      <w:r w:rsidRPr="005850C6">
        <w:rPr>
          <w:rFonts w:ascii="Traditional Arabic" w:hAnsi="Traditional Arabic" w:cs="Traditional Arabic" w:hint="cs"/>
          <w:sz w:val="28"/>
          <w:szCs w:val="28"/>
          <w:highlight w:val="yellow"/>
          <w:rtl/>
        </w:rPr>
        <w:t>)</w:t>
      </w:r>
      <w:r w:rsidRPr="005850C6">
        <w:rPr>
          <w:rFonts w:ascii="Traditional Arabic" w:hAnsi="Traditional Arabic" w:cs="Traditional Arabic"/>
          <w:sz w:val="28"/>
          <w:szCs w:val="28"/>
          <w:highlight w:val="yellow"/>
          <w:rtl/>
        </w:rPr>
        <w:t xml:space="preserve"> (</w:t>
      </w:r>
      <w:r w:rsidRPr="005850C6">
        <w:rPr>
          <w:rFonts w:ascii="Traditional Arabic" w:hAnsi="Traditional Arabic" w:cs="Traditional Arabic"/>
          <w:sz w:val="28"/>
          <w:szCs w:val="28"/>
          <w:highlight w:val="yellow"/>
        </w:rPr>
        <w:t>Female Phase</w:t>
      </w:r>
      <w:r w:rsidRPr="005850C6">
        <w:rPr>
          <w:rFonts w:ascii="Traditional Arabic" w:hAnsi="Traditional Arabic" w:cs="Traditional Arabic"/>
          <w:sz w:val="28"/>
          <w:szCs w:val="28"/>
          <w:highlight w:val="yellow"/>
          <w:rtl/>
        </w:rPr>
        <w:t>):</w:t>
      </w:r>
      <w:r w:rsidRPr="00A9675D">
        <w:rPr>
          <w:rFonts w:ascii="Traditional Arabic" w:hAnsi="Traditional Arabic" w:cs="Traditional Arabic"/>
          <w:sz w:val="28"/>
          <w:szCs w:val="28"/>
          <w:rtl/>
        </w:rPr>
        <w:t xml:space="preserve"> هذه المرحلة مستقلة عن التبعية والهوس بالأدب الذكوري، وتسعى إلى إنشاء تقليد أدبي نسوي يضم التجارب الداخلية والتاريخ الشخصي للنساء. بدأت هذه المرحلة من عام 1920 وما زالت مستمرة. إنها الفترة التي انصرفت فيها الكاتبا</w:t>
      </w:r>
      <w:r>
        <w:rPr>
          <w:rFonts w:ascii="Traditional Arabic" w:hAnsi="Traditional Arabic" w:cs="Traditional Arabic" w:hint="cs"/>
          <w:sz w:val="28"/>
          <w:szCs w:val="28"/>
          <w:rtl/>
        </w:rPr>
        <w:t>ت</w:t>
      </w:r>
      <w:r w:rsidRPr="00A9675D">
        <w:rPr>
          <w:rFonts w:ascii="Traditional Arabic" w:hAnsi="Traditional Arabic" w:cs="Traditional Arabic"/>
          <w:sz w:val="28"/>
          <w:szCs w:val="28"/>
          <w:rtl/>
        </w:rPr>
        <w:t xml:space="preserve">، من منتصف عشرينيات القرن العشرين حتى الآن، إلى الارتقاء بالكتابة الأنثوية </w:t>
      </w:r>
      <w:r w:rsidRPr="005036A4">
        <w:rPr>
          <w:rFonts w:ascii="Traditional Arabic" w:hAnsi="Traditional Arabic" w:cs="Traditional Arabic" w:hint="cs"/>
          <w:sz w:val="28"/>
          <w:szCs w:val="28"/>
          <w:highlight w:val="yellow"/>
          <w:rtl/>
        </w:rPr>
        <w:t>وإظهار</w:t>
      </w:r>
      <w:r>
        <w:rPr>
          <w:rFonts w:ascii="Traditional Arabic" w:hAnsi="Traditional Arabic" w:cs="Traditional Arabic" w:hint="cs"/>
          <w:sz w:val="28"/>
          <w:szCs w:val="28"/>
          <w:rtl/>
        </w:rPr>
        <w:t xml:space="preserve"> </w:t>
      </w:r>
      <w:r w:rsidRPr="00A9675D">
        <w:rPr>
          <w:rFonts w:ascii="Traditional Arabic" w:hAnsi="Traditional Arabic" w:cs="Traditional Arabic"/>
          <w:sz w:val="28"/>
          <w:szCs w:val="28"/>
          <w:rtl/>
        </w:rPr>
        <w:t>تجاربهن الخاصة. كما تشير موريس (2002، ص. 116)، فقد تمكنت الكاتبات في هذه المرحلة من "تحرير أنفسهن من فتنة التعبير عن ردود الفعل تجاه القيم الأبوية، وأجرين تحولاً نحو الداخل للبحث عن هويتهن الأنثوية المستقلة". تتجنب كاتبات هذه المرحلة التقليد الموجود في مرحلة الانصياع ومرحلة الاحتجاج، وتركزن بدلاً من ذلك على تطوير لغة خاصة بالتجارب الأنثوية. يُعدّ جهودهن في تحديد وتحليل التجارب الأنثوية أساسًا لتشكيل تقليد نسوي مستقل وغني (</w:t>
      </w:r>
      <w:r w:rsidRPr="00A9675D">
        <w:rPr>
          <w:rFonts w:ascii="Traditional Arabic" w:hAnsi="Traditional Arabic" w:cs="Traditional Arabic"/>
          <w:sz w:val="28"/>
          <w:szCs w:val="28"/>
        </w:rPr>
        <w:t>Showalter</w:t>
      </w:r>
      <w:r w:rsidRPr="00A9675D">
        <w:rPr>
          <w:rFonts w:ascii="Traditional Arabic" w:hAnsi="Traditional Arabic" w:cs="Traditional Arabic"/>
          <w:sz w:val="28"/>
          <w:szCs w:val="28"/>
          <w:rtl/>
        </w:rPr>
        <w:t>، 1978</w:t>
      </w:r>
      <w:r w:rsidRPr="00A9675D">
        <w:rPr>
          <w:rFonts w:ascii="Traditional Arabic" w:hAnsi="Traditional Arabic" w:cs="Traditional Arabic"/>
          <w:sz w:val="28"/>
          <w:szCs w:val="28"/>
        </w:rPr>
        <w:t xml:space="preserve"> </w:t>
      </w:r>
      <w:r w:rsidRPr="00A9675D">
        <w:rPr>
          <w:rFonts w:ascii="Traditional Arabic" w:hAnsi="Traditional Arabic" w:cs="Traditional Arabic"/>
          <w:sz w:val="28"/>
          <w:szCs w:val="28"/>
          <w:rtl/>
        </w:rPr>
        <w:t>:12).</w:t>
      </w:r>
    </w:p>
    <w:p w14:paraId="447A8B30" w14:textId="77777777" w:rsidR="002E6E11" w:rsidRPr="00A9675D" w:rsidRDefault="002E6E11" w:rsidP="002E6E11">
      <w:pPr>
        <w:bidi/>
        <w:jc w:val="both"/>
        <w:rPr>
          <w:rFonts w:ascii="Traditional Arabic" w:hAnsi="Traditional Arabic" w:cs="Traditional Arabic"/>
          <w:sz w:val="28"/>
          <w:szCs w:val="28"/>
          <w:rtl/>
          <w:lang w:bidi="fa-IR"/>
        </w:rPr>
      </w:pPr>
      <w:r w:rsidRPr="00A9675D">
        <w:rPr>
          <w:rFonts w:ascii="Traditional Arabic" w:hAnsi="Traditional Arabic" w:cs="Traditional Arabic"/>
          <w:sz w:val="28"/>
          <w:szCs w:val="28"/>
          <w:lang w:bidi="fa-IR"/>
        </w:rPr>
        <w:t xml:space="preserve"> </w:t>
      </w:r>
      <w:r w:rsidRPr="00A9675D">
        <w:rPr>
          <w:rFonts w:ascii="Traditional Arabic" w:hAnsi="Traditional Arabic" w:cs="Traditional Arabic"/>
          <w:sz w:val="28"/>
          <w:szCs w:val="28"/>
          <w:rtl/>
          <w:lang w:bidi="fa-IR"/>
        </w:rPr>
        <w:t xml:space="preserve">تشرح كمال رؤية شووالتر بشأن مراحل تطور الأدب النسوي </w:t>
      </w:r>
      <w:r w:rsidRPr="009B4593">
        <w:rPr>
          <w:rFonts w:ascii="Traditional Arabic" w:hAnsi="Traditional Arabic" w:cs="Traditional Arabic"/>
          <w:sz w:val="28"/>
          <w:szCs w:val="28"/>
          <w:highlight w:val="yellow"/>
          <w:rtl/>
          <w:lang w:bidi="fa-IR"/>
        </w:rPr>
        <w:t>والكاتبات</w:t>
      </w:r>
      <w:r>
        <w:rPr>
          <w:rFonts w:ascii="Traditional Arabic" w:hAnsi="Traditional Arabic" w:cs="Traditional Arabic" w:hint="cs"/>
          <w:sz w:val="28"/>
          <w:szCs w:val="28"/>
          <w:rtl/>
          <w:lang w:bidi="fa-IR"/>
        </w:rPr>
        <w:t xml:space="preserve"> </w:t>
      </w:r>
      <w:r w:rsidRPr="00A9675D">
        <w:rPr>
          <w:rFonts w:ascii="Traditional Arabic" w:hAnsi="Traditional Arabic" w:cs="Traditional Arabic"/>
          <w:sz w:val="28"/>
          <w:szCs w:val="28"/>
          <w:rtl/>
          <w:lang w:bidi="fa-IR"/>
        </w:rPr>
        <w:t xml:space="preserve">على النحو التالي: في المرحلة المؤنثة، استخدمت الكاتبات الأمريكيات أسماء مستعارة ذات طابع أنثوي للتعامل مع المعايير الأدبية السائدة، مما أتاح لهن مساحة للتعبير عن طاقاتهن ومهاراتهن </w:t>
      </w:r>
      <w:r w:rsidRPr="00A9675D">
        <w:rPr>
          <w:rFonts w:ascii="Traditional Arabic" w:hAnsi="Traditional Arabic" w:cs="Traditional Arabic"/>
          <w:sz w:val="28"/>
          <w:szCs w:val="28"/>
          <w:rtl/>
          <w:lang w:bidi="fa-IR"/>
        </w:rPr>
        <w:lastRenderedPageBreak/>
        <w:t>المهنية ضمن قيود المجتمع الذكوري</w:t>
      </w:r>
      <w:r w:rsidRPr="00A9675D">
        <w:rPr>
          <w:rFonts w:ascii="Traditional Arabic" w:hAnsi="Traditional Arabic" w:cs="Traditional Arabic"/>
          <w:sz w:val="28"/>
          <w:szCs w:val="28"/>
          <w:lang w:bidi="fa-IR"/>
        </w:rPr>
        <w:t>.</w:t>
      </w:r>
      <w:r w:rsidRPr="00A9675D">
        <w:rPr>
          <w:rFonts w:ascii="Traditional Arabic" w:hAnsi="Traditional Arabic" w:cs="Traditional Arabic"/>
          <w:sz w:val="28"/>
          <w:szCs w:val="28"/>
          <w:rtl/>
          <w:lang w:bidi="fa-IR"/>
        </w:rPr>
        <w:t xml:space="preserve"> أما المرحلة النسوية، الممتدة من أوائل القرن العشرين وحتى حصول النساء على حق الانتخاب، فقد تميزت بتسليط الضوء على معاناة المرأة ورفض الوضع التقليدي للكيان الأنثوي. شهدت هذه المرحلة بروز الروائيات اللاتي تناولن موضوعات العدالة الاجتماعية، الصراع الطبقي، والدور الاجتماعي للمرأة</w:t>
      </w:r>
      <w:r w:rsidRPr="00A9675D">
        <w:rPr>
          <w:rFonts w:ascii="Traditional Arabic" w:hAnsi="Traditional Arabic" w:cs="Traditional Arabic"/>
          <w:sz w:val="28"/>
          <w:szCs w:val="28"/>
          <w:lang w:bidi="fa-IR"/>
        </w:rPr>
        <w:t>.</w:t>
      </w:r>
      <w:r w:rsidRPr="00A9675D">
        <w:rPr>
          <w:rFonts w:ascii="Traditional Arabic" w:hAnsi="Traditional Arabic" w:cs="Traditional Arabic"/>
          <w:sz w:val="28"/>
          <w:szCs w:val="28"/>
          <w:rtl/>
          <w:lang w:bidi="fa-IR"/>
        </w:rPr>
        <w:t xml:space="preserve"> تستمر المرحلة الأنثوية منذ منتصف القرن العشرين، حيث تركز الكاتبات على الخبرة الأنثوية كمصدر للفن المستقل، مع توسيع دائرة التحليل النسوي لتشمل تقنيات وأشكال أدبية متعددة. في هذه المرحلة، ما أسهم في تطوير خطاب أدبي مستقل للمرأة بعيدًا عن المعايير الذكورية التقليدية(کمال، 2015: 102-104).</w:t>
      </w:r>
    </w:p>
    <w:tbl>
      <w:tblPr>
        <w:tblStyle w:val="TableGrid"/>
        <w:bidiVisual/>
        <w:tblW w:w="0" w:type="auto"/>
        <w:tblLook w:val="04A0" w:firstRow="1" w:lastRow="0" w:firstColumn="1" w:lastColumn="0" w:noHBand="0" w:noVBand="1"/>
      </w:tblPr>
      <w:tblGrid>
        <w:gridCol w:w="2337"/>
        <w:gridCol w:w="2337"/>
        <w:gridCol w:w="2338"/>
        <w:gridCol w:w="2338"/>
      </w:tblGrid>
      <w:tr w:rsidR="002E6E11" w:rsidRPr="00A9675D" w14:paraId="5CF3568D" w14:textId="77777777" w:rsidTr="00327F96">
        <w:tc>
          <w:tcPr>
            <w:tcW w:w="2337" w:type="dxa"/>
          </w:tcPr>
          <w:p w14:paraId="2C3A9465" w14:textId="77777777" w:rsidR="002E6E11" w:rsidRPr="00A9675D" w:rsidRDefault="002E6E11" w:rsidP="00327F96">
            <w:pPr>
              <w:bidi/>
              <w:jc w:val="center"/>
              <w:rPr>
                <w:rFonts w:ascii="Traditional Arabic" w:hAnsi="Traditional Arabic" w:cs="Traditional Arabic"/>
                <w:b/>
                <w:bCs/>
                <w:sz w:val="28"/>
                <w:szCs w:val="28"/>
                <w:rtl/>
              </w:rPr>
            </w:pPr>
            <w:r w:rsidRPr="00A9675D">
              <w:rPr>
                <w:rFonts w:ascii="Traditional Arabic" w:hAnsi="Traditional Arabic" w:cs="Traditional Arabic"/>
                <w:b/>
                <w:bCs/>
                <w:sz w:val="28"/>
                <w:szCs w:val="28"/>
                <w:rtl/>
              </w:rPr>
              <w:t>المرحلة</w:t>
            </w:r>
          </w:p>
        </w:tc>
        <w:tc>
          <w:tcPr>
            <w:tcW w:w="2337" w:type="dxa"/>
          </w:tcPr>
          <w:p w14:paraId="5E5BA601" w14:textId="77777777" w:rsidR="002E6E11" w:rsidRPr="00A9675D" w:rsidRDefault="002E6E11" w:rsidP="00327F96">
            <w:pPr>
              <w:bidi/>
              <w:jc w:val="center"/>
              <w:rPr>
                <w:rFonts w:ascii="Traditional Arabic" w:hAnsi="Traditional Arabic" w:cs="Traditional Arabic"/>
                <w:b/>
                <w:bCs/>
                <w:sz w:val="28"/>
                <w:szCs w:val="28"/>
                <w:rtl/>
              </w:rPr>
            </w:pPr>
            <w:r w:rsidRPr="00A9675D">
              <w:rPr>
                <w:rFonts w:ascii="Traditional Arabic" w:hAnsi="Traditional Arabic" w:cs="Traditional Arabic"/>
                <w:b/>
                <w:bCs/>
                <w:sz w:val="28"/>
                <w:szCs w:val="28"/>
                <w:rtl/>
              </w:rPr>
              <w:t>الاسم</w:t>
            </w:r>
          </w:p>
        </w:tc>
        <w:tc>
          <w:tcPr>
            <w:tcW w:w="2338" w:type="dxa"/>
          </w:tcPr>
          <w:p w14:paraId="7CFC60DB" w14:textId="77777777" w:rsidR="002E6E11" w:rsidRPr="00A9675D" w:rsidRDefault="002E6E11" w:rsidP="00327F96">
            <w:pPr>
              <w:bidi/>
              <w:jc w:val="center"/>
              <w:rPr>
                <w:rFonts w:ascii="Traditional Arabic" w:hAnsi="Traditional Arabic" w:cs="Traditional Arabic"/>
                <w:b/>
                <w:bCs/>
                <w:sz w:val="28"/>
                <w:szCs w:val="28"/>
                <w:rtl/>
              </w:rPr>
            </w:pPr>
            <w:r w:rsidRPr="00A9675D">
              <w:rPr>
                <w:rFonts w:ascii="Traditional Arabic" w:hAnsi="Traditional Arabic" w:cs="Traditional Arabic"/>
                <w:b/>
                <w:bCs/>
                <w:sz w:val="28"/>
                <w:szCs w:val="28"/>
                <w:rtl/>
              </w:rPr>
              <w:t>السمة الرئيسية</w:t>
            </w:r>
          </w:p>
        </w:tc>
        <w:tc>
          <w:tcPr>
            <w:tcW w:w="2338" w:type="dxa"/>
          </w:tcPr>
          <w:p w14:paraId="791CB25B" w14:textId="77777777" w:rsidR="002E6E11" w:rsidRPr="00A9675D" w:rsidRDefault="002E6E11" w:rsidP="00327F96">
            <w:pPr>
              <w:bidi/>
              <w:jc w:val="center"/>
              <w:rPr>
                <w:rFonts w:ascii="Traditional Arabic" w:hAnsi="Traditional Arabic" w:cs="Traditional Arabic"/>
                <w:b/>
                <w:bCs/>
                <w:sz w:val="28"/>
                <w:szCs w:val="28"/>
                <w:rtl/>
              </w:rPr>
            </w:pPr>
            <w:r w:rsidRPr="00A9675D">
              <w:rPr>
                <w:rFonts w:ascii="Traditional Arabic" w:hAnsi="Traditional Arabic" w:cs="Traditional Arabic"/>
                <w:b/>
                <w:bCs/>
                <w:sz w:val="28"/>
                <w:szCs w:val="28"/>
                <w:rtl/>
              </w:rPr>
              <w:t>السلوك / النزعة</w:t>
            </w:r>
          </w:p>
        </w:tc>
      </w:tr>
      <w:tr w:rsidR="002E6E11" w:rsidRPr="00A9675D" w14:paraId="1297C396" w14:textId="77777777" w:rsidTr="00327F96">
        <w:tc>
          <w:tcPr>
            <w:tcW w:w="2337" w:type="dxa"/>
          </w:tcPr>
          <w:p w14:paraId="7E4C450C" w14:textId="77777777" w:rsidR="002E6E11" w:rsidRPr="00A9675D" w:rsidRDefault="002E6E11" w:rsidP="00327F96">
            <w:pPr>
              <w:bidi/>
              <w:jc w:val="center"/>
              <w:rPr>
                <w:rFonts w:ascii="Traditional Arabic" w:hAnsi="Traditional Arabic" w:cs="Traditional Arabic"/>
                <w:b/>
                <w:bCs/>
                <w:sz w:val="28"/>
                <w:szCs w:val="28"/>
                <w:rtl/>
              </w:rPr>
            </w:pPr>
            <w:r w:rsidRPr="00A9675D">
              <w:rPr>
                <w:rFonts w:ascii="Traditional Arabic" w:hAnsi="Traditional Arabic" w:cs="Traditional Arabic"/>
                <w:b/>
                <w:bCs/>
                <w:sz w:val="28"/>
                <w:szCs w:val="28"/>
                <w:rtl/>
              </w:rPr>
              <w:t>1</w:t>
            </w:r>
          </w:p>
        </w:tc>
        <w:tc>
          <w:tcPr>
            <w:tcW w:w="2337" w:type="dxa"/>
          </w:tcPr>
          <w:p w14:paraId="4F01D7CB" w14:textId="77777777" w:rsidR="002E6E11" w:rsidRPr="00A9675D" w:rsidRDefault="002E6E11" w:rsidP="00327F96">
            <w:pPr>
              <w:bidi/>
              <w:jc w:val="center"/>
              <w:rPr>
                <w:rFonts w:ascii="Traditional Arabic" w:hAnsi="Traditional Arabic" w:cs="Traditional Arabic"/>
                <w:sz w:val="28"/>
                <w:szCs w:val="28"/>
                <w:rtl/>
              </w:rPr>
            </w:pPr>
            <w:r w:rsidRPr="00A9675D">
              <w:rPr>
                <w:rFonts w:ascii="Traditional Arabic" w:hAnsi="Traditional Arabic" w:cs="Traditional Arabic"/>
                <w:sz w:val="28"/>
                <w:szCs w:val="28"/>
                <w:rtl/>
              </w:rPr>
              <w:t>المرحلة الأنثوية (الانصياع/التقليد)</w:t>
            </w:r>
          </w:p>
        </w:tc>
        <w:tc>
          <w:tcPr>
            <w:tcW w:w="2338" w:type="dxa"/>
          </w:tcPr>
          <w:p w14:paraId="14C05918" w14:textId="77777777" w:rsidR="002E6E11" w:rsidRPr="00A9675D" w:rsidRDefault="002E6E11" w:rsidP="00327F96">
            <w:pPr>
              <w:bidi/>
              <w:jc w:val="center"/>
              <w:rPr>
                <w:rFonts w:ascii="Traditional Arabic" w:hAnsi="Traditional Arabic" w:cs="Traditional Arabic"/>
                <w:sz w:val="28"/>
                <w:szCs w:val="28"/>
                <w:rtl/>
              </w:rPr>
            </w:pPr>
            <w:r w:rsidRPr="00A9675D">
              <w:rPr>
                <w:rFonts w:ascii="Traditional Arabic" w:hAnsi="Traditional Arabic" w:cs="Traditional Arabic"/>
                <w:sz w:val="28"/>
                <w:szCs w:val="28"/>
                <w:rtl/>
              </w:rPr>
              <w:t>تقبّل الأدوار التقليدية للمرأة</w:t>
            </w:r>
          </w:p>
        </w:tc>
        <w:tc>
          <w:tcPr>
            <w:tcW w:w="2338" w:type="dxa"/>
          </w:tcPr>
          <w:p w14:paraId="3226B919" w14:textId="77777777" w:rsidR="002E6E11" w:rsidRPr="00A9675D" w:rsidRDefault="002E6E11" w:rsidP="00327F96">
            <w:pPr>
              <w:bidi/>
              <w:jc w:val="center"/>
              <w:rPr>
                <w:rFonts w:ascii="Traditional Arabic" w:hAnsi="Traditional Arabic" w:cs="Traditional Arabic"/>
                <w:sz w:val="28"/>
                <w:szCs w:val="28"/>
                <w:rtl/>
              </w:rPr>
            </w:pPr>
            <w:r w:rsidRPr="00A9675D">
              <w:rPr>
                <w:rFonts w:ascii="Traditional Arabic" w:hAnsi="Traditional Arabic" w:cs="Traditional Arabic"/>
                <w:sz w:val="28"/>
                <w:szCs w:val="28"/>
                <w:rtl/>
              </w:rPr>
              <w:t xml:space="preserve">تقليد </w:t>
            </w:r>
            <w:r w:rsidRPr="005036A4">
              <w:rPr>
                <w:rFonts w:ascii="Traditional Arabic" w:hAnsi="Traditional Arabic" w:cs="Traditional Arabic"/>
                <w:sz w:val="28"/>
                <w:szCs w:val="28"/>
                <w:highlight w:val="yellow"/>
                <w:rtl/>
              </w:rPr>
              <w:t>النماذ</w:t>
            </w:r>
            <w:r w:rsidRPr="005036A4">
              <w:rPr>
                <w:rFonts w:ascii="Traditional Arabic" w:hAnsi="Traditional Arabic" w:cs="Traditional Arabic" w:hint="cs"/>
                <w:sz w:val="28"/>
                <w:szCs w:val="28"/>
                <w:highlight w:val="yellow"/>
                <w:rtl/>
              </w:rPr>
              <w:t>ج</w:t>
            </w:r>
            <w:r w:rsidRPr="005036A4">
              <w:rPr>
                <w:rFonts w:ascii="Traditional Arabic" w:hAnsi="Traditional Arabic" w:cs="Traditional Arabic"/>
                <w:sz w:val="28"/>
                <w:szCs w:val="28"/>
                <w:highlight w:val="yellow"/>
                <w:rtl/>
              </w:rPr>
              <w:t xml:space="preserve"> الأبوية</w:t>
            </w:r>
            <w:r w:rsidRPr="00A9675D">
              <w:rPr>
                <w:rFonts w:ascii="Traditional Arabic" w:hAnsi="Traditional Arabic" w:cs="Traditional Arabic"/>
                <w:sz w:val="28"/>
                <w:szCs w:val="28"/>
                <w:rtl/>
              </w:rPr>
              <w:t>، الانصياع للمعايير الجندرية</w:t>
            </w:r>
          </w:p>
        </w:tc>
      </w:tr>
      <w:tr w:rsidR="002E6E11" w:rsidRPr="00A9675D" w14:paraId="6A66D766" w14:textId="77777777" w:rsidTr="00327F96">
        <w:tc>
          <w:tcPr>
            <w:tcW w:w="2337" w:type="dxa"/>
          </w:tcPr>
          <w:p w14:paraId="6336FA40" w14:textId="77777777" w:rsidR="002E6E11" w:rsidRPr="00A9675D" w:rsidRDefault="002E6E11" w:rsidP="00327F96">
            <w:pPr>
              <w:bidi/>
              <w:jc w:val="center"/>
              <w:rPr>
                <w:rFonts w:ascii="Traditional Arabic" w:hAnsi="Traditional Arabic" w:cs="Traditional Arabic"/>
                <w:b/>
                <w:bCs/>
                <w:sz w:val="28"/>
                <w:szCs w:val="28"/>
                <w:rtl/>
              </w:rPr>
            </w:pPr>
            <w:r w:rsidRPr="00A9675D">
              <w:rPr>
                <w:rFonts w:ascii="Traditional Arabic" w:hAnsi="Traditional Arabic" w:cs="Traditional Arabic"/>
                <w:b/>
                <w:bCs/>
                <w:sz w:val="28"/>
                <w:szCs w:val="28"/>
                <w:rtl/>
              </w:rPr>
              <w:t>2</w:t>
            </w:r>
          </w:p>
        </w:tc>
        <w:tc>
          <w:tcPr>
            <w:tcW w:w="2337" w:type="dxa"/>
          </w:tcPr>
          <w:p w14:paraId="4F2B6242" w14:textId="77777777" w:rsidR="002E6E11" w:rsidRPr="00A9675D" w:rsidRDefault="002E6E11" w:rsidP="00327F96">
            <w:pPr>
              <w:bidi/>
              <w:jc w:val="center"/>
              <w:rPr>
                <w:rFonts w:ascii="Traditional Arabic" w:hAnsi="Traditional Arabic" w:cs="Traditional Arabic"/>
                <w:sz w:val="28"/>
                <w:szCs w:val="28"/>
                <w:rtl/>
              </w:rPr>
            </w:pPr>
            <w:r w:rsidRPr="00A9675D">
              <w:rPr>
                <w:rFonts w:ascii="Traditional Arabic" w:hAnsi="Traditional Arabic" w:cs="Traditional Arabic"/>
                <w:sz w:val="28"/>
                <w:szCs w:val="28"/>
                <w:rtl/>
              </w:rPr>
              <w:t>المرحلة النسوية (الاحتجاج/المقاومة)</w:t>
            </w:r>
          </w:p>
        </w:tc>
        <w:tc>
          <w:tcPr>
            <w:tcW w:w="2338" w:type="dxa"/>
          </w:tcPr>
          <w:p w14:paraId="4E65653A" w14:textId="77777777" w:rsidR="002E6E11" w:rsidRPr="00A9675D" w:rsidRDefault="002E6E11" w:rsidP="00327F96">
            <w:pPr>
              <w:bidi/>
              <w:jc w:val="center"/>
              <w:rPr>
                <w:rFonts w:ascii="Traditional Arabic" w:hAnsi="Traditional Arabic" w:cs="Traditional Arabic"/>
                <w:sz w:val="28"/>
                <w:szCs w:val="28"/>
                <w:rtl/>
              </w:rPr>
            </w:pPr>
            <w:r w:rsidRPr="00A9675D">
              <w:rPr>
                <w:rFonts w:ascii="Traditional Arabic" w:hAnsi="Traditional Arabic" w:cs="Traditional Arabic"/>
                <w:sz w:val="28"/>
                <w:szCs w:val="28"/>
                <w:rtl/>
              </w:rPr>
              <w:t>النقد والمقاومة</w:t>
            </w:r>
          </w:p>
        </w:tc>
        <w:tc>
          <w:tcPr>
            <w:tcW w:w="2338" w:type="dxa"/>
          </w:tcPr>
          <w:p w14:paraId="22E94773" w14:textId="77777777" w:rsidR="002E6E11" w:rsidRPr="00A9675D" w:rsidRDefault="002E6E11" w:rsidP="00327F96">
            <w:pPr>
              <w:bidi/>
              <w:jc w:val="center"/>
              <w:rPr>
                <w:rFonts w:ascii="Traditional Arabic" w:hAnsi="Traditional Arabic" w:cs="Traditional Arabic"/>
                <w:sz w:val="28"/>
                <w:szCs w:val="28"/>
                <w:rtl/>
              </w:rPr>
            </w:pPr>
            <w:r w:rsidRPr="00A9675D">
              <w:rPr>
                <w:rFonts w:ascii="Traditional Arabic" w:hAnsi="Traditional Arabic" w:cs="Traditional Arabic"/>
                <w:sz w:val="28"/>
                <w:szCs w:val="28"/>
                <w:rtl/>
              </w:rPr>
              <w:t>الاحتجاج على القيود الجندرية، السعي لتغيير القوانين والمعايير</w:t>
            </w:r>
          </w:p>
        </w:tc>
      </w:tr>
      <w:tr w:rsidR="002E6E11" w:rsidRPr="00A9675D" w14:paraId="6BCFC9C9" w14:textId="77777777" w:rsidTr="00327F96">
        <w:tc>
          <w:tcPr>
            <w:tcW w:w="2337" w:type="dxa"/>
          </w:tcPr>
          <w:p w14:paraId="06624EFB" w14:textId="77777777" w:rsidR="002E6E11" w:rsidRPr="00A9675D" w:rsidRDefault="002E6E11" w:rsidP="00327F96">
            <w:pPr>
              <w:bidi/>
              <w:jc w:val="center"/>
              <w:rPr>
                <w:rFonts w:ascii="Traditional Arabic" w:hAnsi="Traditional Arabic" w:cs="Traditional Arabic"/>
                <w:b/>
                <w:bCs/>
                <w:sz w:val="28"/>
                <w:szCs w:val="28"/>
                <w:rtl/>
              </w:rPr>
            </w:pPr>
            <w:r w:rsidRPr="00A9675D">
              <w:rPr>
                <w:rFonts w:ascii="Traditional Arabic" w:hAnsi="Traditional Arabic" w:cs="Traditional Arabic"/>
                <w:b/>
                <w:bCs/>
                <w:sz w:val="28"/>
                <w:szCs w:val="28"/>
                <w:rtl/>
              </w:rPr>
              <w:t>3</w:t>
            </w:r>
          </w:p>
        </w:tc>
        <w:tc>
          <w:tcPr>
            <w:tcW w:w="2337" w:type="dxa"/>
          </w:tcPr>
          <w:p w14:paraId="047CAE62" w14:textId="77777777" w:rsidR="002E6E11" w:rsidRPr="00A9675D" w:rsidRDefault="002E6E11" w:rsidP="00327F96">
            <w:pPr>
              <w:bidi/>
              <w:jc w:val="center"/>
              <w:rPr>
                <w:rFonts w:ascii="Traditional Arabic" w:hAnsi="Traditional Arabic" w:cs="Traditional Arabic"/>
                <w:sz w:val="28"/>
                <w:szCs w:val="28"/>
                <w:rtl/>
              </w:rPr>
            </w:pPr>
            <w:bookmarkStart w:id="3" w:name="_Hlk210744209"/>
            <w:r w:rsidRPr="00A9675D">
              <w:rPr>
                <w:rFonts w:ascii="Traditional Arabic" w:hAnsi="Traditional Arabic" w:cs="Traditional Arabic"/>
                <w:sz w:val="28"/>
                <w:szCs w:val="28"/>
                <w:rtl/>
              </w:rPr>
              <w:t xml:space="preserve">المرحلة الأنثى-المحور </w:t>
            </w:r>
            <w:bookmarkEnd w:id="3"/>
            <w:r w:rsidRPr="00A9675D">
              <w:rPr>
                <w:rFonts w:ascii="Traditional Arabic" w:hAnsi="Traditional Arabic" w:cs="Traditional Arabic"/>
                <w:sz w:val="28"/>
                <w:szCs w:val="28"/>
                <w:rtl/>
              </w:rPr>
              <w:t>(تشكيل الهوية)</w:t>
            </w:r>
          </w:p>
        </w:tc>
        <w:tc>
          <w:tcPr>
            <w:tcW w:w="2338" w:type="dxa"/>
          </w:tcPr>
          <w:p w14:paraId="3E3A85BF" w14:textId="77777777" w:rsidR="002E6E11" w:rsidRPr="00A9675D" w:rsidRDefault="002E6E11" w:rsidP="00327F96">
            <w:pPr>
              <w:bidi/>
              <w:jc w:val="center"/>
              <w:rPr>
                <w:rFonts w:ascii="Traditional Arabic" w:hAnsi="Traditional Arabic" w:cs="Traditional Arabic"/>
                <w:sz w:val="28"/>
                <w:szCs w:val="28"/>
                <w:rtl/>
              </w:rPr>
            </w:pPr>
            <w:r w:rsidRPr="00A9675D">
              <w:rPr>
                <w:rFonts w:ascii="Traditional Arabic" w:hAnsi="Traditional Arabic" w:cs="Traditional Arabic"/>
                <w:sz w:val="28"/>
                <w:szCs w:val="28"/>
                <w:rtl/>
              </w:rPr>
              <w:t>معرفة الذات والهوية المستقلة</w:t>
            </w:r>
          </w:p>
        </w:tc>
        <w:tc>
          <w:tcPr>
            <w:tcW w:w="2338" w:type="dxa"/>
          </w:tcPr>
          <w:p w14:paraId="6629C74D" w14:textId="77777777" w:rsidR="002E6E11" w:rsidRPr="00A9675D" w:rsidRDefault="002E6E11" w:rsidP="00327F96">
            <w:pPr>
              <w:bidi/>
              <w:jc w:val="center"/>
              <w:rPr>
                <w:rFonts w:ascii="Traditional Arabic" w:hAnsi="Traditional Arabic" w:cs="Traditional Arabic"/>
                <w:sz w:val="28"/>
                <w:szCs w:val="28"/>
                <w:rtl/>
              </w:rPr>
            </w:pPr>
            <w:r w:rsidRPr="00A9675D">
              <w:rPr>
                <w:rFonts w:ascii="Traditional Arabic" w:hAnsi="Traditional Arabic" w:cs="Traditional Arabic"/>
                <w:sz w:val="28"/>
                <w:szCs w:val="28"/>
                <w:rtl/>
              </w:rPr>
              <w:t>تشكيل هوية فردية وجندرية مستقلة، تجاوز الأطر التقليدية</w:t>
            </w:r>
          </w:p>
        </w:tc>
      </w:tr>
    </w:tbl>
    <w:p w14:paraId="1D7D04AE" w14:textId="77777777" w:rsidR="002E6E11" w:rsidRPr="00A9675D" w:rsidRDefault="002E6E11" w:rsidP="002E6E11">
      <w:pPr>
        <w:bidi/>
        <w:jc w:val="both"/>
        <w:rPr>
          <w:rFonts w:ascii="Traditional Arabic" w:hAnsi="Traditional Arabic" w:cs="Traditional Arabic"/>
          <w:sz w:val="28"/>
          <w:szCs w:val="28"/>
          <w:rtl/>
        </w:rPr>
      </w:pPr>
    </w:p>
    <w:p w14:paraId="602946F9" w14:textId="77777777" w:rsidR="002E6E11" w:rsidRPr="00A9675D" w:rsidRDefault="002E6E11" w:rsidP="002E6E11">
      <w:pPr>
        <w:bidi/>
        <w:jc w:val="both"/>
        <w:rPr>
          <w:rFonts w:ascii="Traditional Arabic" w:hAnsi="Traditional Arabic" w:cs="Traditional Arabic"/>
          <w:sz w:val="28"/>
          <w:szCs w:val="28"/>
          <w:rtl/>
          <w:lang w:bidi="fa-IR"/>
        </w:rPr>
      </w:pPr>
      <w:r w:rsidRPr="007B0DC7">
        <w:rPr>
          <w:rFonts w:ascii="Traditional Arabic" w:hAnsi="Traditional Arabic" w:cs="Traditional Arabic"/>
          <w:sz w:val="28"/>
          <w:szCs w:val="28"/>
          <w:highlight w:val="yellow"/>
          <w:rtl/>
        </w:rPr>
        <w:t xml:space="preserve">تعتقد شوالتر أن التقليد الأنثوي-المحور يتشكّل عندما يحرر الباحثون أنفسهم من قيود التاريخ الأدبي الذكوري أحادي البعد، ويوجهون تركيزهم نحو العالم المرئي والملحوظ للنساء. أخيرًا، تبيّن شوالتر من خلال انتقالها من النقد الأنثوي-المحور إلى الدراسات الجندرية، كيف يمكن لهذه الدراسات أن تقود المجتمع نحو مرحلة ما بعد الأبوية. وهي تؤكد أنه على عكس بعض وجهات النظر التي ترى في الدراسات الجندرية تهديدًا للدراسات النسوية، فإن هذا </w:t>
      </w:r>
      <w:r w:rsidRPr="007B0DC7">
        <w:rPr>
          <w:rFonts w:ascii="Traditional Arabic" w:hAnsi="Traditional Arabic" w:cs="Traditional Arabic" w:hint="cs"/>
          <w:sz w:val="28"/>
          <w:szCs w:val="28"/>
          <w:highlight w:val="yellow"/>
          <w:rtl/>
        </w:rPr>
        <w:t xml:space="preserve">النمط </w:t>
      </w:r>
      <w:r w:rsidRPr="007B0DC7">
        <w:rPr>
          <w:rFonts w:ascii="Traditional Arabic" w:hAnsi="Traditional Arabic" w:cs="Traditional Arabic"/>
          <w:sz w:val="28"/>
          <w:szCs w:val="28"/>
          <w:highlight w:val="yellow"/>
          <w:rtl/>
        </w:rPr>
        <w:t>يمثل في الواقع تمكينًا وتوسيعًا لفهم التجارب الجندري</w:t>
      </w:r>
      <w:r>
        <w:rPr>
          <w:rFonts w:ascii="Traditional Arabic" w:hAnsi="Traditional Arabic" w:cs="Traditional Arabic" w:hint="cs"/>
          <w:sz w:val="28"/>
          <w:szCs w:val="28"/>
          <w:highlight w:val="yellow"/>
          <w:rtl/>
        </w:rPr>
        <w:t>ة(</w:t>
      </w:r>
      <w:r w:rsidRPr="007B0DC7">
        <w:rPr>
          <w:rFonts w:ascii="Traditional Arabic" w:hAnsi="Traditional Arabic" w:cs="Traditional Arabic"/>
          <w:sz w:val="28"/>
          <w:szCs w:val="28"/>
          <w:highlight w:val="yellow"/>
        </w:rPr>
        <w:t xml:space="preserve"> (Showalter 1977:</w:t>
      </w:r>
      <w:r>
        <w:rPr>
          <w:rFonts w:ascii="Traditional Arabic" w:hAnsi="Traditional Arabic" w:cs="Traditional Arabic"/>
          <w:sz w:val="28"/>
          <w:szCs w:val="28"/>
          <w:highlight w:val="yellow"/>
          <w:lang w:bidi="ar-IQ"/>
        </w:rPr>
        <w:t>27</w:t>
      </w:r>
      <w:r>
        <w:rPr>
          <w:rFonts w:ascii="Traditional Arabic" w:hAnsi="Traditional Arabic" w:cs="Traditional Arabic" w:hint="cs"/>
          <w:sz w:val="28"/>
          <w:szCs w:val="28"/>
          <w:rtl/>
          <w:lang w:bidi="fa-IR"/>
        </w:rPr>
        <w:t>.</w:t>
      </w:r>
    </w:p>
    <w:p w14:paraId="2A94AE67"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قد تم تطبيق هذا النموذج ثلاثي المراحل في الدراسات المتعلقة بالأدب النسائي العربي أيضًا. فخطيب يؤكد على أن مرحلة "المحاكاة" (أي المرحلة الأنثوية) تتجلى بشكل خاص في ميل الكاتبات إلى إعادة إنتاج وفي نفس الوقت تقليص الأدوار النمطية التقليدية للمرأة في المجتمع (خطيب، 2005: 95)</w:t>
      </w:r>
      <w:r w:rsidRPr="00A9675D">
        <w:rPr>
          <w:rFonts w:ascii="Traditional Arabic" w:hAnsi="Traditional Arabic" w:cs="Traditional Arabic"/>
          <w:sz w:val="28"/>
          <w:szCs w:val="28"/>
        </w:rPr>
        <w:t>.</w:t>
      </w:r>
    </w:p>
    <w:p w14:paraId="24F36722" w14:textId="77777777" w:rsidR="002E6E11" w:rsidRPr="00A9675D" w:rsidRDefault="002E6E11" w:rsidP="002E6E11">
      <w:pPr>
        <w:bidi/>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2</w:t>
      </w:r>
      <w:r w:rsidRPr="00A9675D">
        <w:rPr>
          <w:rFonts w:ascii="Traditional Arabic" w:hAnsi="Traditional Arabic" w:cs="Traditional Arabic"/>
          <w:b/>
          <w:bCs/>
          <w:sz w:val="28"/>
          <w:szCs w:val="28"/>
          <w:rtl/>
        </w:rPr>
        <w:t>-2</w:t>
      </w:r>
      <w:r w:rsidRPr="00A9675D">
        <w:rPr>
          <w:rFonts w:ascii="Traditional Arabic" w:hAnsi="Traditional Arabic" w:cs="Traditional Arabic"/>
          <w:b/>
          <w:bCs/>
          <w:sz w:val="28"/>
          <w:szCs w:val="28"/>
        </w:rPr>
        <w:t xml:space="preserve">. </w:t>
      </w:r>
      <w:r w:rsidRPr="00E8133F">
        <w:rPr>
          <w:rFonts w:ascii="Traditional Arabic" w:hAnsi="Traditional Arabic" w:cs="Traditional Arabic"/>
          <w:b/>
          <w:bCs/>
          <w:sz w:val="28"/>
          <w:szCs w:val="28"/>
          <w:highlight w:val="yellow"/>
          <w:rtl/>
        </w:rPr>
        <w:t>ملخص الرواية</w:t>
      </w:r>
      <w:r w:rsidRPr="00E8133F">
        <w:rPr>
          <w:rFonts w:ascii="Traditional Arabic" w:hAnsi="Traditional Arabic" w:cs="Traditional Arabic" w:hint="cs"/>
          <w:b/>
          <w:bCs/>
          <w:sz w:val="28"/>
          <w:szCs w:val="28"/>
          <w:highlight w:val="yellow"/>
          <w:rtl/>
        </w:rPr>
        <w:t xml:space="preserve"> والتعريف بالکاتبة</w:t>
      </w:r>
    </w:p>
    <w:p w14:paraId="28C8424B" w14:textId="77777777" w:rsidR="002E6E11" w:rsidRPr="000A7BC1" w:rsidRDefault="002E6E11" w:rsidP="002E6E11">
      <w:pPr>
        <w:bidi/>
        <w:jc w:val="both"/>
        <w:rPr>
          <w:rFonts w:ascii="Traditional Arabic" w:hAnsi="Traditional Arabic" w:cs="Traditional Arabic"/>
          <w:sz w:val="28"/>
          <w:szCs w:val="28"/>
          <w:highlight w:val="yellow"/>
          <w:rtl/>
        </w:rPr>
      </w:pPr>
      <w:r w:rsidRPr="000A7BC1">
        <w:rPr>
          <w:rFonts w:ascii="Traditional Arabic" w:hAnsi="Traditional Arabic" w:cs="Traditional Arabic"/>
          <w:sz w:val="28"/>
          <w:szCs w:val="28"/>
          <w:highlight w:val="yellow"/>
          <w:rtl/>
        </w:rPr>
        <w:t xml:space="preserve">وُلدت الكاتبة العمانية هدى الجهوري حمد عام 1981 في مدينة الرستاق بسلطنة عمان، وهي خريجة قسم اللغة العربية وآدابها من جامعة حلب في سوريا. أثرت هدى حمد المكتبة العربية بالعديد من الأعمال الأدبية المتنوعة التي شملت مجموعات قصصية وروايات؛ فمن مجموعاتها القصصية نذكر: «نميمة مالحة»، و«ليس بالضبط كما أريد»، وصولاً إلى «أنا الوحيد الذي أكل التفاحة». أما رواياتها </w:t>
      </w:r>
      <w:r w:rsidRPr="000A7BC1">
        <w:rPr>
          <w:rFonts w:ascii="Traditional Arabic" w:hAnsi="Traditional Arabic" w:cs="Traditional Arabic"/>
          <w:sz w:val="28"/>
          <w:szCs w:val="28"/>
          <w:highlight w:val="yellow"/>
          <w:rtl/>
        </w:rPr>
        <w:lastRenderedPageBreak/>
        <w:t>فمن أبرزها «أسامينا»، و«سندريلات مسقط»، و«الأشياء ليست في أماكنها»، وهي الرواية التي حصدت بفضلها جائزة الإبداع العربي بالشارقة، بالإضافة إلى جائزة أفضل رواية عمانية لعام 2009 (حمد، 2016: 159).</w:t>
      </w:r>
    </w:p>
    <w:p w14:paraId="25A400E7" w14:textId="77777777" w:rsidR="002E6E11" w:rsidRDefault="002E6E11" w:rsidP="002E6E11">
      <w:pPr>
        <w:bidi/>
        <w:jc w:val="both"/>
        <w:rPr>
          <w:rFonts w:ascii="Traditional Arabic" w:hAnsi="Traditional Arabic" w:cs="Traditional Arabic"/>
          <w:sz w:val="28"/>
          <w:szCs w:val="28"/>
          <w:rtl/>
        </w:rPr>
      </w:pPr>
      <w:r w:rsidRPr="009B4593">
        <w:rPr>
          <w:rFonts w:ascii="Traditional Arabic" w:hAnsi="Traditional Arabic" w:cs="Traditional Arabic"/>
          <w:sz w:val="28"/>
          <w:szCs w:val="28"/>
          <w:highlight w:val="yellow"/>
          <w:rtl/>
        </w:rPr>
        <w:t xml:space="preserve">تتألف رواية "سندريلات مسقط" للكاتبة هدى حمد من ثماني قصص قصيرة </w:t>
      </w:r>
      <w:r w:rsidRPr="009B4593">
        <w:rPr>
          <w:rFonts w:ascii="Traditional Arabic" w:hAnsi="Traditional Arabic" w:cs="Traditional Arabic" w:hint="cs"/>
          <w:sz w:val="28"/>
          <w:szCs w:val="28"/>
          <w:highlight w:val="yellow"/>
          <w:rtl/>
        </w:rPr>
        <w:t>مرتبطة با</w:t>
      </w:r>
      <w:r w:rsidRPr="009B4593">
        <w:rPr>
          <w:rFonts w:ascii="Traditional Arabic" w:hAnsi="Traditional Arabic" w:cs="Traditional Arabic"/>
          <w:sz w:val="28"/>
          <w:szCs w:val="28"/>
          <w:highlight w:val="yellow"/>
          <w:rtl/>
        </w:rPr>
        <w:t>لنساء</w:t>
      </w:r>
      <w:r w:rsidRPr="009B4593">
        <w:rPr>
          <w:rFonts w:ascii="Traditional Arabic" w:hAnsi="Traditional Arabic" w:cs="Traditional Arabic"/>
          <w:sz w:val="28"/>
          <w:szCs w:val="28"/>
          <w:highlight w:val="yellow"/>
        </w:rPr>
        <w:t>.</w:t>
      </w:r>
      <w:r w:rsidRPr="009B4593">
        <w:rPr>
          <w:rFonts w:ascii="Traditional Arabic" w:hAnsi="Traditional Arabic" w:cs="Traditional Arabic" w:hint="cs"/>
          <w:sz w:val="28"/>
          <w:szCs w:val="28"/>
          <w:highlight w:val="yellow"/>
          <w:rtl/>
        </w:rPr>
        <w:t xml:space="preserve"> </w:t>
      </w:r>
      <w:r w:rsidRPr="009B4593">
        <w:rPr>
          <w:rFonts w:ascii="Traditional Arabic" w:hAnsi="Traditional Arabic" w:cs="Traditional Arabic"/>
          <w:sz w:val="28"/>
          <w:szCs w:val="28"/>
          <w:highlight w:val="yellow"/>
          <w:rtl/>
        </w:rPr>
        <w:t>في بداية الرواية، تصف الكاتبة اجتماع هؤلاء النسوة الثماني في مطعم. تبدو هؤلاء النساء، اللاتي يجتمعن دوريًا، وكأنهن كاملات وخاليات من العيوب حين يُنظَر إليهن من بعيد، مما يثير إعجاب المحيطين بهن. يطلب منهن الطاهي رامون، وهو الرجل الوحيد في الرواية والذي يستعد لترك عمله، أن يسردن قصصهن ويكشفن السر وراء هذا الكمال الظاهر الذي يتمتعن به.</w:t>
      </w:r>
    </w:p>
    <w:p w14:paraId="1FC3669A"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تبدأ القصة الأولى بفتحية. فتحية هي امرأة تهرب من ماضيها. لأن فتحية كانت ذات مظهر قبيح في نظر الآخرين في طفولتها وتتعرض للسخرية من قبل المحيطين بها، فهي لا تمتلك نظرة إيجابية لمظهرها. مرور الوقت، الزواج، والتغيرات الجسدية، والعمليات الجراحية المتعددة لم تساعدها على التصالح مع أحداث طفولتها. روح ونفس فتحية بقيت في الماضي، وأحداث ماضيها أثرت على أفكارها وحياتها الحالية والمستقبلية</w:t>
      </w:r>
      <w:r w:rsidRPr="00A9675D">
        <w:rPr>
          <w:rFonts w:ascii="Traditional Arabic" w:hAnsi="Traditional Arabic" w:cs="Traditional Arabic"/>
          <w:sz w:val="28"/>
          <w:szCs w:val="28"/>
        </w:rPr>
        <w:t>.</w:t>
      </w:r>
    </w:p>
    <w:p w14:paraId="2643DCC4"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قصة أخرى في الرواية هي عن سارة. إنها تصف بطريقة ما حياة جدتها. تبدأ قصتها بوفاة جدتها، ويجبرها المحيطون بها على غسل جدة جدتها. قصة سارة هي وصف لنساء من ثلاثة أجيال. إنها تصف أحداثًا عن جدتها، وتطور مرضها، والعلاقة بين الجدة وأمها</w:t>
      </w:r>
      <w:r w:rsidRPr="00A9675D">
        <w:rPr>
          <w:rFonts w:ascii="Traditional Arabic" w:hAnsi="Traditional Arabic" w:cs="Traditional Arabic"/>
          <w:sz w:val="28"/>
          <w:szCs w:val="28"/>
        </w:rPr>
        <w:t>.</w:t>
      </w:r>
    </w:p>
    <w:p w14:paraId="1479153C" w14:textId="77777777" w:rsidR="002E6E11" w:rsidRPr="00A9675D" w:rsidRDefault="002E6E11" w:rsidP="002E6E11">
      <w:pPr>
        <w:bidi/>
        <w:jc w:val="both"/>
        <w:rPr>
          <w:rFonts w:ascii="Traditional Arabic" w:hAnsi="Traditional Arabic" w:cs="Traditional Arabic"/>
          <w:sz w:val="28"/>
          <w:szCs w:val="28"/>
          <w:rtl/>
        </w:rPr>
      </w:pPr>
      <w:r w:rsidRPr="009D6868">
        <w:rPr>
          <w:rFonts w:ascii="Traditional Arabic" w:hAnsi="Traditional Arabic" w:cs="Traditional Arabic"/>
          <w:sz w:val="28"/>
          <w:szCs w:val="28"/>
          <w:highlight w:val="yellow"/>
          <w:rtl/>
        </w:rPr>
        <w:t>نوف امرأة تعرضت للإهمال</w:t>
      </w:r>
      <w:r w:rsidRPr="001424B8">
        <w:rPr>
          <w:rFonts w:ascii="Traditional Arabic" w:hAnsi="Traditional Arabic" w:cs="Traditional Arabic"/>
          <w:sz w:val="28"/>
          <w:szCs w:val="28"/>
          <w:rtl/>
        </w:rPr>
        <w:t xml:space="preserve"> </w:t>
      </w:r>
      <w:r w:rsidRPr="00A9675D">
        <w:rPr>
          <w:rFonts w:ascii="Traditional Arabic" w:hAnsi="Traditional Arabic" w:cs="Traditional Arabic"/>
          <w:sz w:val="28"/>
          <w:szCs w:val="28"/>
          <w:rtl/>
        </w:rPr>
        <w:t xml:space="preserve">وعدم المودة من قبل الرجال حولها بسبب مظهرها المختلف. </w:t>
      </w:r>
      <w:r w:rsidRPr="00AE02CE">
        <w:rPr>
          <w:rFonts w:ascii="Traditional Arabic" w:hAnsi="Traditional Arabic" w:cs="Traditional Arabic"/>
          <w:sz w:val="28"/>
          <w:szCs w:val="28"/>
          <w:rtl/>
        </w:rPr>
        <w:t>ا</w:t>
      </w:r>
      <w:r w:rsidRPr="00AE02CE">
        <w:rPr>
          <w:rFonts w:ascii="Traditional Arabic" w:hAnsi="Traditional Arabic" w:cs="Traditional Arabic"/>
          <w:sz w:val="28"/>
          <w:szCs w:val="28"/>
          <w:highlight w:val="yellow"/>
          <w:rtl/>
        </w:rPr>
        <w:t>هتمام</w:t>
      </w:r>
      <w:r w:rsidRPr="00A9675D">
        <w:rPr>
          <w:rFonts w:ascii="Traditional Arabic" w:hAnsi="Traditional Arabic" w:cs="Traditional Arabic"/>
          <w:sz w:val="28"/>
          <w:szCs w:val="28"/>
          <w:rtl/>
        </w:rPr>
        <w:t xml:space="preserve"> نوف لمعتقدات عمتها الخرافية جعلها تمنع نمو جسدها، فلم يكن لديها جسد مثل باقي النساء، وبقيت وحيدة لذلك، مظهرها وخصائصها الجسدية المختلفة عن النساء الأخريات جعلتها لا تمتلك </w:t>
      </w:r>
      <w:r w:rsidRPr="00AE02CE">
        <w:rPr>
          <w:rFonts w:ascii="Traditional Arabic" w:hAnsi="Traditional Arabic" w:cs="Traditional Arabic"/>
          <w:sz w:val="28"/>
          <w:szCs w:val="28"/>
          <w:highlight w:val="yellow"/>
          <w:rtl/>
        </w:rPr>
        <w:t>شخص</w:t>
      </w:r>
      <w:r w:rsidRPr="00AE02CE">
        <w:rPr>
          <w:rFonts w:ascii="Traditional Arabic" w:hAnsi="Traditional Arabic" w:cs="Traditional Arabic" w:hint="cs"/>
          <w:sz w:val="28"/>
          <w:szCs w:val="28"/>
          <w:highlight w:val="yellow"/>
          <w:rtl/>
        </w:rPr>
        <w:t>ی</w:t>
      </w:r>
      <w:r w:rsidRPr="00AE02CE">
        <w:rPr>
          <w:rFonts w:ascii="Traditional Arabic" w:hAnsi="Traditional Arabic" w:cs="Traditional Arabic" w:hint="eastAsia"/>
          <w:sz w:val="28"/>
          <w:szCs w:val="28"/>
          <w:highlight w:val="yellow"/>
          <w:rtl/>
        </w:rPr>
        <w:t>ة</w:t>
      </w:r>
      <w:r w:rsidRPr="00AE02CE">
        <w:rPr>
          <w:rFonts w:ascii="Traditional Arabic" w:hAnsi="Traditional Arabic" w:cs="Traditional Arabic"/>
          <w:sz w:val="28"/>
          <w:szCs w:val="28"/>
          <w:highlight w:val="yellow"/>
          <w:rtl/>
        </w:rPr>
        <w:t xml:space="preserve"> واثقة من نفسها</w:t>
      </w:r>
      <w:r w:rsidRPr="00AE02CE">
        <w:rPr>
          <w:rFonts w:ascii="Traditional Arabic" w:hAnsi="Traditional Arabic" w:cs="Traditional Arabic" w:hint="cs"/>
          <w:sz w:val="28"/>
          <w:szCs w:val="28"/>
          <w:highlight w:val="yellow"/>
          <w:rtl/>
        </w:rPr>
        <w:t>.</w:t>
      </w:r>
    </w:p>
    <w:p w14:paraId="043063F6"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 xml:space="preserve">ربيعة، امرأة تعرضت لعدم المودة من قبل زوجها، وهذا الأمر أنهكها وصنع منها امرأة حزينة. زوجها، من خلال القواعد والأطر التي وضعها لها، خلق عائقًا كبيرًا أمام حريتها. حتى أن زوجها خطط لأصغر أفعال ربيعة، </w:t>
      </w:r>
      <w:r w:rsidRPr="00AE02CE">
        <w:rPr>
          <w:rFonts w:ascii="Traditional Arabic" w:hAnsi="Traditional Arabic" w:cs="Traditional Arabic"/>
          <w:sz w:val="28"/>
          <w:szCs w:val="28"/>
          <w:highlight w:val="yellow"/>
          <w:rtl/>
        </w:rPr>
        <w:t>ق</w:t>
      </w:r>
      <w:r w:rsidRPr="00AE02CE">
        <w:rPr>
          <w:rFonts w:ascii="Traditional Arabic" w:hAnsi="Traditional Arabic" w:cs="Traditional Arabic" w:hint="cs"/>
          <w:sz w:val="28"/>
          <w:szCs w:val="28"/>
          <w:highlight w:val="yellow"/>
          <w:rtl/>
        </w:rPr>
        <w:t>ی</w:t>
      </w:r>
      <w:r w:rsidRPr="00AE02CE">
        <w:rPr>
          <w:rFonts w:ascii="Traditional Arabic" w:hAnsi="Traditional Arabic" w:cs="Traditional Arabic" w:hint="eastAsia"/>
          <w:sz w:val="28"/>
          <w:szCs w:val="28"/>
          <w:highlight w:val="yellow"/>
          <w:rtl/>
        </w:rPr>
        <w:t>د</w:t>
      </w:r>
      <w:r w:rsidRPr="00AE02CE">
        <w:rPr>
          <w:rFonts w:ascii="Traditional Arabic" w:hAnsi="Traditional Arabic" w:cs="Traditional Arabic"/>
          <w:sz w:val="28"/>
          <w:szCs w:val="28"/>
          <w:highlight w:val="yellow"/>
          <w:rtl/>
        </w:rPr>
        <w:t xml:space="preserve"> حريتها</w:t>
      </w:r>
      <w:r w:rsidRPr="00A9675D">
        <w:rPr>
          <w:rFonts w:ascii="Traditional Arabic" w:hAnsi="Traditional Arabic" w:cs="Traditional Arabic"/>
          <w:sz w:val="28"/>
          <w:szCs w:val="28"/>
          <w:rtl/>
        </w:rPr>
        <w:t xml:space="preserve"> إلى حد ما</w:t>
      </w:r>
      <w:r w:rsidRPr="00A9675D">
        <w:rPr>
          <w:rFonts w:ascii="Traditional Arabic" w:hAnsi="Traditional Arabic" w:cs="Traditional Arabic"/>
          <w:sz w:val="28"/>
          <w:szCs w:val="28"/>
        </w:rPr>
        <w:t>.</w:t>
      </w:r>
    </w:p>
    <w:p w14:paraId="4F777A94"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تهاني تروي قصة امرأة فقدت ثقتها بنفسها بسبب سلوك زوجها. زوج تهاني يلومها باستمرار من خلال سلوكه. سلوك يوسف، زوج تهاني، المقبول ظاهريًا لكنه مليء باللوم، حولها إلى امرأة منعزلة، حيث أن فقدانها لثقتها بنفسها لم يمنحها مجالاً لأداء دورها أو التواجد في المجتمع</w:t>
      </w:r>
      <w:r w:rsidRPr="00A9675D">
        <w:rPr>
          <w:rFonts w:ascii="Traditional Arabic" w:hAnsi="Traditional Arabic" w:cs="Traditional Arabic"/>
          <w:sz w:val="28"/>
          <w:szCs w:val="28"/>
        </w:rPr>
        <w:t>.</w:t>
      </w:r>
    </w:p>
    <w:p w14:paraId="35A67208"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زواج ريا من زوجها البدوي أجبرها على الهجرة إلى قرية حول مسقط. بسبب عدم تواصل أهل القرية معها وسلوك زوجها غير المناسب، تعلقّت ريا بعجل إلى درجة أنها أدخلته إلى منزلها. تفصل ريا العجل عن أمه وتحاول كسر المودة بينهما. في النهاية، يموت العجل، و</w:t>
      </w:r>
      <w:r w:rsidRPr="005036A4">
        <w:rPr>
          <w:rFonts w:ascii="Traditional Arabic" w:hAnsi="Traditional Arabic" w:cs="Traditional Arabic"/>
          <w:sz w:val="28"/>
          <w:szCs w:val="28"/>
          <w:rtl/>
        </w:rPr>
        <w:t>بموته</w:t>
      </w:r>
      <w:r w:rsidRPr="00A9675D">
        <w:rPr>
          <w:rFonts w:ascii="Traditional Arabic" w:hAnsi="Traditional Arabic" w:cs="Traditional Arabic"/>
          <w:sz w:val="28"/>
          <w:szCs w:val="28"/>
          <w:rtl/>
        </w:rPr>
        <w:t xml:space="preserve"> العجل، تنقلب حياة ريا رأسًا على عقب. في النهاية، يتركها زوجها أيضًا ويعود إلى الصحراء</w:t>
      </w:r>
      <w:r w:rsidRPr="00A9675D">
        <w:rPr>
          <w:rFonts w:ascii="Traditional Arabic" w:hAnsi="Traditional Arabic" w:cs="Traditional Arabic"/>
          <w:sz w:val="28"/>
          <w:szCs w:val="28"/>
        </w:rPr>
        <w:t>.</w:t>
      </w:r>
    </w:p>
    <w:p w14:paraId="4D7176D2"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lastRenderedPageBreak/>
        <w:t xml:space="preserve">قصة عليا هي قصة انبهار ثقافي لمجتمع تجلى في إطار الحياة الأسرية. بث مسلسل مكسيكي جعل عليا وزملائها في الصف، على صغر سنهم، يخوضون في الخيال ويبتعدون عن الحياة الواقعية، ويتعلقون بممثلي المسلسل. والدة عليا أيضًا تأثرت بهذا المسلسل وتعلقت بالممثل الذكر فيه. في نهاية قصتها، أصبحت عليا واعية وأدركت أخيرًا أن هذه الشخصيات افتراضية ولا أهمية لها، </w:t>
      </w:r>
      <w:r w:rsidRPr="005036A4">
        <w:rPr>
          <w:rFonts w:ascii="Traditional Arabic" w:hAnsi="Traditional Arabic" w:cs="Traditional Arabic"/>
          <w:sz w:val="28"/>
          <w:szCs w:val="28"/>
          <w:highlight w:val="yellow"/>
          <w:rtl/>
        </w:rPr>
        <w:t>وففقامت بتوع</w:t>
      </w:r>
      <w:r w:rsidRPr="005036A4">
        <w:rPr>
          <w:rFonts w:ascii="Traditional Arabic" w:hAnsi="Traditional Arabic" w:cs="Traditional Arabic" w:hint="cs"/>
          <w:sz w:val="28"/>
          <w:szCs w:val="28"/>
          <w:highlight w:val="yellow"/>
          <w:rtl/>
        </w:rPr>
        <w:t>ی</w:t>
      </w:r>
      <w:r w:rsidRPr="005036A4">
        <w:rPr>
          <w:rFonts w:ascii="Traditional Arabic" w:hAnsi="Traditional Arabic" w:cs="Traditional Arabic" w:hint="eastAsia"/>
          <w:sz w:val="28"/>
          <w:szCs w:val="28"/>
          <w:highlight w:val="yellow"/>
          <w:rtl/>
        </w:rPr>
        <w:t>ة</w:t>
      </w:r>
      <w:r>
        <w:rPr>
          <w:rFonts w:ascii="Traditional Arabic" w:hAnsi="Traditional Arabic" w:cs="Traditional Arabic" w:hint="cs"/>
          <w:sz w:val="28"/>
          <w:szCs w:val="28"/>
          <w:rtl/>
        </w:rPr>
        <w:t xml:space="preserve"> </w:t>
      </w:r>
      <w:r w:rsidRPr="00A9675D">
        <w:rPr>
          <w:rFonts w:ascii="Traditional Arabic" w:hAnsi="Traditional Arabic" w:cs="Traditional Arabic"/>
          <w:sz w:val="28"/>
          <w:szCs w:val="28"/>
          <w:rtl/>
        </w:rPr>
        <w:t>من حولها أيضًا</w:t>
      </w:r>
      <w:r w:rsidRPr="00A9675D">
        <w:rPr>
          <w:rFonts w:ascii="Traditional Arabic" w:hAnsi="Traditional Arabic" w:cs="Traditional Arabic"/>
          <w:sz w:val="28"/>
          <w:szCs w:val="28"/>
        </w:rPr>
        <w:t>.</w:t>
      </w:r>
    </w:p>
    <w:p w14:paraId="14E82EEF" w14:textId="77777777" w:rsidR="002E6E11" w:rsidRDefault="002E6E11" w:rsidP="002E6E11">
      <w:pPr>
        <w:bidi/>
        <w:jc w:val="both"/>
        <w:rPr>
          <w:rFonts w:ascii="Traditional Arabic" w:hAnsi="Traditional Arabic" w:cs="Traditional Arabic"/>
          <w:sz w:val="28"/>
          <w:szCs w:val="28"/>
          <w:rtl/>
        </w:rPr>
      </w:pPr>
      <w:r w:rsidRPr="009D6868">
        <w:rPr>
          <w:rFonts w:ascii="Traditional Arabic" w:hAnsi="Traditional Arabic" w:cs="Traditional Arabic"/>
          <w:sz w:val="28"/>
          <w:szCs w:val="28"/>
          <w:highlight w:val="yellow"/>
          <w:rtl/>
        </w:rPr>
        <w:t>تروي الرواية قصة مزنة، وهي امرأة لديها سلوكيات. في رواية مزنة، يتم الإشارة إلى زيجاتها المتعددة وسلوكياتها</w:t>
      </w:r>
      <w:r w:rsidRPr="009D6868">
        <w:rPr>
          <w:rFonts w:ascii="Traditional Arabic" w:hAnsi="Traditional Arabic" w:cs="Traditional Arabic" w:hint="cs"/>
          <w:sz w:val="28"/>
          <w:szCs w:val="28"/>
          <w:highlight w:val="yellow"/>
          <w:rtl/>
        </w:rPr>
        <w:t xml:space="preserve"> </w:t>
      </w:r>
      <w:r w:rsidRPr="009D6868">
        <w:rPr>
          <w:rFonts w:ascii="Traditional Arabic" w:eastAsia="MS Gothic" w:hAnsi="Traditional Arabic" w:cs="Traditional Arabic"/>
          <w:sz w:val="28"/>
          <w:szCs w:val="28"/>
          <w:highlight w:val="yellow"/>
          <w:rtl/>
        </w:rPr>
        <w:t>يبدو في الظاهر</w:t>
      </w:r>
      <w:r w:rsidRPr="009D6868">
        <w:rPr>
          <w:rFonts w:ascii="Traditional Arabic" w:hAnsi="Traditional Arabic" w:cs="Traditional Arabic"/>
          <w:sz w:val="28"/>
          <w:szCs w:val="28"/>
          <w:highlight w:val="yellow"/>
        </w:rPr>
        <w:t xml:space="preserve"> </w:t>
      </w:r>
      <w:r w:rsidRPr="009D6868">
        <w:rPr>
          <w:rFonts w:ascii="Traditional Arabic" w:hAnsi="Traditional Arabic" w:cs="Traditional Arabic"/>
          <w:sz w:val="28"/>
          <w:szCs w:val="28"/>
          <w:highlight w:val="yellow"/>
          <w:rtl/>
        </w:rPr>
        <w:t>طائشة</w:t>
      </w:r>
      <w:r w:rsidRPr="009D6868">
        <w:rPr>
          <w:rFonts w:ascii="Traditional Arabic" w:hAnsi="Traditional Arabic" w:cs="Traditional Arabic" w:hint="cs"/>
          <w:sz w:val="28"/>
          <w:szCs w:val="28"/>
          <w:highlight w:val="yellow"/>
          <w:rtl/>
        </w:rPr>
        <w:t xml:space="preserve"> </w:t>
      </w:r>
      <w:r w:rsidRPr="009D6868">
        <w:rPr>
          <w:rFonts w:ascii="Traditional Arabic" w:hAnsi="Traditional Arabic" w:cs="Traditional Arabic"/>
          <w:sz w:val="28"/>
          <w:szCs w:val="28"/>
          <w:highlight w:val="yellow"/>
          <w:rtl/>
        </w:rPr>
        <w:t>و</w:t>
      </w:r>
      <w:r w:rsidRPr="009D6868">
        <w:rPr>
          <w:rFonts w:ascii="Traditional Arabic" w:hAnsi="Traditional Arabic" w:cs="Traditional Arabic" w:hint="cs"/>
          <w:sz w:val="28"/>
          <w:szCs w:val="28"/>
          <w:highlight w:val="yellow"/>
          <w:rtl/>
        </w:rPr>
        <w:t>ت</w:t>
      </w:r>
      <w:r w:rsidRPr="009D6868">
        <w:rPr>
          <w:rFonts w:ascii="Traditional Arabic" w:hAnsi="Traditional Arabic" w:cs="Traditional Arabic"/>
          <w:sz w:val="28"/>
          <w:szCs w:val="28"/>
          <w:highlight w:val="yellow"/>
          <w:rtl/>
        </w:rPr>
        <w:t>صف بنت الأخ</w:t>
      </w:r>
      <w:r>
        <w:rPr>
          <w:rFonts w:ascii="Traditional Arabic" w:hAnsi="Traditional Arabic" w:cs="Traditional Arabic" w:hint="cs"/>
          <w:sz w:val="28"/>
          <w:szCs w:val="28"/>
          <w:rtl/>
        </w:rPr>
        <w:t xml:space="preserve"> </w:t>
      </w:r>
      <w:r w:rsidRPr="009D6868">
        <w:rPr>
          <w:rFonts w:ascii="Traditional Arabic" w:hAnsi="Traditional Arabic" w:cs="Traditional Arabic"/>
          <w:sz w:val="28"/>
          <w:szCs w:val="28"/>
          <w:highlight w:val="yellow"/>
          <w:rtl/>
        </w:rPr>
        <w:t>مزنة أحداث طفولته</w:t>
      </w:r>
      <w:r>
        <w:rPr>
          <w:rFonts w:ascii="Traditional Arabic" w:hAnsi="Traditional Arabic" w:cs="Traditional Arabic" w:hint="cs"/>
          <w:sz w:val="28"/>
          <w:szCs w:val="28"/>
          <w:highlight w:val="yellow"/>
          <w:rtl/>
        </w:rPr>
        <w:t>ا</w:t>
      </w:r>
      <w:r w:rsidRPr="009D6868">
        <w:rPr>
          <w:rFonts w:ascii="Traditional Arabic" w:hAnsi="Traditional Arabic" w:cs="Traditional Arabic"/>
          <w:sz w:val="28"/>
          <w:szCs w:val="28"/>
          <w:highlight w:val="yellow"/>
          <w:rtl/>
        </w:rPr>
        <w:t xml:space="preserve"> في علاقته</w:t>
      </w:r>
      <w:r>
        <w:rPr>
          <w:rFonts w:ascii="Traditional Arabic" w:hAnsi="Traditional Arabic" w:cs="Traditional Arabic" w:hint="cs"/>
          <w:sz w:val="28"/>
          <w:szCs w:val="28"/>
          <w:highlight w:val="yellow"/>
          <w:rtl/>
        </w:rPr>
        <w:t>ا</w:t>
      </w:r>
      <w:r w:rsidRPr="009D6868">
        <w:rPr>
          <w:rFonts w:ascii="Traditional Arabic" w:hAnsi="Traditional Arabic" w:cs="Traditional Arabic"/>
          <w:sz w:val="28"/>
          <w:szCs w:val="28"/>
          <w:highlight w:val="yellow"/>
          <w:rtl/>
        </w:rPr>
        <w:t xml:space="preserve"> بعمته</w:t>
      </w:r>
      <w:r>
        <w:rPr>
          <w:rFonts w:ascii="Traditional Arabic" w:hAnsi="Traditional Arabic" w:cs="Traditional Arabic" w:hint="cs"/>
          <w:sz w:val="28"/>
          <w:szCs w:val="28"/>
          <w:highlight w:val="yellow"/>
          <w:rtl/>
        </w:rPr>
        <w:t>ا</w:t>
      </w:r>
      <w:r w:rsidRPr="009D6868">
        <w:rPr>
          <w:rFonts w:ascii="Traditional Arabic" w:hAnsi="Traditional Arabic" w:cs="Traditional Arabic"/>
          <w:sz w:val="28"/>
          <w:szCs w:val="28"/>
          <w:highlight w:val="yellow"/>
          <w:rtl/>
        </w:rPr>
        <w:t>.</w:t>
      </w:r>
      <w:r w:rsidRPr="00A9675D">
        <w:rPr>
          <w:rFonts w:ascii="Traditional Arabic" w:hAnsi="Traditional Arabic" w:cs="Traditional Arabic"/>
          <w:sz w:val="28"/>
          <w:szCs w:val="28"/>
          <w:rtl/>
        </w:rPr>
        <w:t xml:space="preserve"> في نهاية الرواية، بعد أن شرحت جميع الشخصيات النسائية قصص حياتهن، تنتهي حفلة سندريلات الواقعيات هذه، ويعود الجميع من المطعم إلى منازلهن ليواصلن حياتهن في الواقع</w:t>
      </w:r>
      <w:r w:rsidRPr="00A9675D">
        <w:rPr>
          <w:rFonts w:ascii="Traditional Arabic" w:hAnsi="Traditional Arabic" w:cs="Traditional Arabic"/>
          <w:sz w:val="28"/>
          <w:szCs w:val="28"/>
        </w:rPr>
        <w:t>.</w:t>
      </w:r>
    </w:p>
    <w:p w14:paraId="2A5D35BB" w14:textId="77777777" w:rsidR="002E6E11" w:rsidRPr="00073BED" w:rsidRDefault="002E6E11" w:rsidP="002E6E11">
      <w:pPr>
        <w:bidi/>
        <w:jc w:val="both"/>
        <w:rPr>
          <w:rFonts w:ascii="Traditional Arabic" w:hAnsi="Traditional Arabic" w:cs="Traditional Arabic"/>
          <w:b/>
          <w:bCs/>
          <w:sz w:val="28"/>
          <w:szCs w:val="28"/>
          <w:rtl/>
          <w:lang w:bidi="fa-IR"/>
        </w:rPr>
      </w:pPr>
      <w:r w:rsidRPr="001409CC">
        <w:rPr>
          <w:rFonts w:ascii="Traditional Arabic" w:hAnsi="Traditional Arabic" w:cs="Traditional Arabic" w:hint="cs"/>
          <w:b/>
          <w:bCs/>
          <w:sz w:val="28"/>
          <w:szCs w:val="28"/>
          <w:highlight w:val="yellow"/>
          <w:rtl/>
        </w:rPr>
        <w:t>2-3.</w:t>
      </w:r>
      <w:r w:rsidRPr="001409CC">
        <w:rPr>
          <w:b/>
          <w:bCs/>
          <w:highlight w:val="yellow"/>
          <w:rtl/>
        </w:rPr>
        <w:t xml:space="preserve"> </w:t>
      </w:r>
      <w:r w:rsidRPr="001409CC">
        <w:rPr>
          <w:rFonts w:ascii="Traditional Arabic" w:hAnsi="Traditional Arabic" w:cs="Traditional Arabic"/>
          <w:b/>
          <w:bCs/>
          <w:sz w:val="28"/>
          <w:szCs w:val="28"/>
          <w:highlight w:val="yellow"/>
          <w:rtl/>
        </w:rPr>
        <w:t>الوضع الاجتماعي والثقافي للمرأة في عمان</w:t>
      </w:r>
    </w:p>
    <w:p w14:paraId="54E31588" w14:textId="77777777" w:rsidR="002E6E11" w:rsidRPr="00CC5C10" w:rsidRDefault="002E6E11" w:rsidP="002E6E11">
      <w:pPr>
        <w:bidi/>
        <w:jc w:val="both"/>
        <w:rPr>
          <w:rFonts w:ascii="Traditional Arabic" w:hAnsi="Traditional Arabic" w:cs="Traditional Arabic"/>
          <w:sz w:val="28"/>
          <w:szCs w:val="28"/>
          <w:rtl/>
        </w:rPr>
      </w:pPr>
      <w:r w:rsidRPr="00CC5C10">
        <w:rPr>
          <w:rFonts w:ascii="Traditional Arabic" w:hAnsi="Traditional Arabic" w:cs="Traditional Arabic"/>
          <w:sz w:val="28"/>
          <w:szCs w:val="28"/>
          <w:highlight w:val="yellow"/>
          <w:rtl/>
        </w:rPr>
        <w:t xml:space="preserve">نشأت ثقافة المجتمع بطريقة كانت تمنع حرية التعبير للمرأة قدر الإمكان؛ لأن حرية الكلام تؤدي حتمًا إلى حرية الفكر، وتلك بدورها تنتهي إلى حرية السلوك، وهذا كان يُعتبر تهديدًا خطيرًا للنظام الأبوي (البطريركي) السائد في المجتمع العربي (السعداوي، </w:t>
      </w:r>
      <w:r>
        <w:rPr>
          <w:rFonts w:ascii="Traditional Arabic" w:hAnsi="Traditional Arabic" w:cs="Traditional Arabic" w:hint="cs"/>
          <w:sz w:val="28"/>
          <w:szCs w:val="28"/>
          <w:highlight w:val="yellow"/>
          <w:rtl/>
        </w:rPr>
        <w:t>1990</w:t>
      </w:r>
      <w:r w:rsidRPr="00CC5C10">
        <w:rPr>
          <w:rFonts w:ascii="Traditional Arabic" w:hAnsi="Traditional Arabic" w:cs="Traditional Arabic"/>
          <w:sz w:val="28"/>
          <w:szCs w:val="28"/>
          <w:highlight w:val="yellow"/>
          <w:rtl/>
        </w:rPr>
        <w:t>: 311). وفي مثل هذه البيئة، لم يكن لصوت المرأة مجال للوصول أو مكانة في الخطاب الاجتماعي. حتى النساء الحكيمات والمفكرات كُنّ يُهمَشن في هذه الثقافة ويضيع صوتهن في صخب الذكورية (</w:t>
      </w:r>
      <w:r w:rsidRPr="00CC5C10">
        <w:rPr>
          <w:rFonts w:ascii="Traditional Arabic" w:hAnsi="Traditional Arabic" w:cs="Traditional Arabic" w:hint="cs"/>
          <w:sz w:val="28"/>
          <w:szCs w:val="28"/>
          <w:highlight w:val="yellow"/>
          <w:rtl/>
        </w:rPr>
        <w:t>صيادي‌نجاد،</w:t>
      </w:r>
      <w:r w:rsidRPr="00CC5C10">
        <w:rPr>
          <w:rFonts w:ascii="Traditional Arabic" w:hAnsi="Traditional Arabic" w:cs="Traditional Arabic"/>
          <w:sz w:val="28"/>
          <w:szCs w:val="28"/>
          <w:highlight w:val="yellow"/>
          <w:rtl/>
        </w:rPr>
        <w:t xml:space="preserve"> 139</w:t>
      </w:r>
      <w:r>
        <w:rPr>
          <w:rFonts w:ascii="Traditional Arabic" w:hAnsi="Traditional Arabic" w:cs="Traditional Arabic" w:hint="cs"/>
          <w:sz w:val="28"/>
          <w:szCs w:val="28"/>
          <w:highlight w:val="yellow"/>
          <w:rtl/>
        </w:rPr>
        <w:t>5</w:t>
      </w:r>
      <w:r w:rsidRPr="00CC5C10">
        <w:rPr>
          <w:rFonts w:ascii="Traditional Arabic" w:hAnsi="Traditional Arabic" w:cs="Traditional Arabic"/>
          <w:sz w:val="28"/>
          <w:szCs w:val="28"/>
          <w:highlight w:val="yellow"/>
          <w:rtl/>
        </w:rPr>
        <w:t>: 228).</w:t>
      </w:r>
    </w:p>
    <w:p w14:paraId="26BDF101" w14:textId="77777777" w:rsidR="002E6E11" w:rsidRPr="00A9675D" w:rsidRDefault="002E6E11" w:rsidP="002E6E11">
      <w:pPr>
        <w:bidi/>
        <w:jc w:val="both"/>
        <w:rPr>
          <w:rFonts w:ascii="Traditional Arabic" w:hAnsi="Traditional Arabic" w:cs="Traditional Arabic"/>
          <w:sz w:val="28"/>
          <w:szCs w:val="28"/>
          <w:rtl/>
        </w:rPr>
      </w:pPr>
      <w:r w:rsidRPr="00073BED">
        <w:rPr>
          <w:rFonts w:ascii="Traditional Arabic" w:hAnsi="Traditional Arabic" w:cs="Traditional Arabic"/>
          <w:sz w:val="28"/>
          <w:szCs w:val="28"/>
          <w:highlight w:val="yellow"/>
          <w:rtl/>
        </w:rPr>
        <w:t>تتأثر وضعية المرأة في عُمان بمزيج من القيود الثقافية والاجتماعية والاقتصادية التي تحد من فرص مشاركتها الكاملة في المجتمع. فبينما تُبذَل جهود لتمكين المرأة من خلال التعليم والتوعية القانونية بحقوقها، لا تزال هناك عقبات هيكلية قائمة، مثل التفضيل على أساس النوع الاجتماعي (الجندر)، والقيود الثقافية الإقليمية التي تحد من قدرة النساء على المشاركة في بعض المشاريع الاقتصادية والاجتماعية، والمشاكل المالية التي تواجه المشاريع النسائية والتي تؤثر على استدامتها</w:t>
      </w:r>
      <w:r w:rsidRPr="00073BED">
        <w:rPr>
          <w:rFonts w:ascii="Traditional Arabic" w:hAnsi="Traditional Arabic" w:cs="Traditional Arabic"/>
          <w:sz w:val="28"/>
          <w:szCs w:val="28"/>
          <w:highlight w:val="yellow"/>
        </w:rPr>
        <w:t>.</w:t>
      </w:r>
      <w:r w:rsidRPr="00073BED">
        <w:rPr>
          <w:rFonts w:ascii="Traditional Arabic" w:hAnsi="Traditional Arabic" w:cs="Traditional Arabic" w:hint="cs"/>
          <w:sz w:val="28"/>
          <w:szCs w:val="28"/>
          <w:highlight w:val="yellow"/>
          <w:rtl/>
        </w:rPr>
        <w:t xml:space="preserve"> </w:t>
      </w:r>
      <w:r w:rsidRPr="00073BED">
        <w:rPr>
          <w:rFonts w:ascii="Traditional Arabic" w:hAnsi="Traditional Arabic" w:cs="Traditional Arabic"/>
          <w:sz w:val="28"/>
          <w:szCs w:val="28"/>
          <w:highlight w:val="yellow"/>
          <w:rtl/>
        </w:rPr>
        <w:t>كما أن نقص الوعي القانوني والحقوقي يجعل النساء أكثر عرضة للتحديات والعوائق، ويحد من استفادتهن من الفرص المتاحة. وبشكل عام، لا تزال المرأة العُمانية تواجه تحديات جدية في طريقها نحو تحقيق المشاركة الاقتصادية والاجتماعية الكاملة، ولكن يمكن للتعليم والدعم القانوني المستمر أن يمهدا الطريق لتغيير إيجابي ومستدام، ويعززا قدرة المرأة على المساهمة بفاعلية في التنمية المجتمعية والاقتصادية</w:t>
      </w:r>
      <w:r w:rsidRPr="00073BED">
        <w:rPr>
          <w:rFonts w:ascii="Traditional Arabic" w:hAnsi="Traditional Arabic" w:cs="Traditional Arabic" w:hint="cs"/>
          <w:sz w:val="28"/>
          <w:szCs w:val="28"/>
          <w:highlight w:val="yellow"/>
          <w:rtl/>
        </w:rPr>
        <w:t xml:space="preserve">(الهاشمي والنبلاوي، </w:t>
      </w:r>
      <w:r>
        <w:rPr>
          <w:rFonts w:ascii="Traditional Arabic" w:hAnsi="Traditional Arabic" w:cs="Traditional Arabic" w:hint="cs"/>
          <w:sz w:val="28"/>
          <w:szCs w:val="28"/>
          <w:highlight w:val="yellow"/>
          <w:rtl/>
        </w:rPr>
        <w:t>2009</w:t>
      </w:r>
      <w:r w:rsidRPr="00073BED">
        <w:rPr>
          <w:rFonts w:ascii="Traditional Arabic" w:hAnsi="Traditional Arabic" w:cs="Traditional Arabic" w:hint="cs"/>
          <w:sz w:val="28"/>
          <w:szCs w:val="28"/>
          <w:highlight w:val="yellow"/>
          <w:rtl/>
        </w:rPr>
        <w:t>: 6و 30).</w:t>
      </w:r>
    </w:p>
    <w:p w14:paraId="5FD36ABC" w14:textId="77777777" w:rsidR="002E6E11" w:rsidRPr="00A9675D" w:rsidRDefault="002E6E11" w:rsidP="002E6E11">
      <w:pPr>
        <w:bidi/>
        <w:jc w:val="both"/>
        <w:rPr>
          <w:rFonts w:ascii="Traditional Arabic" w:hAnsi="Traditional Arabic" w:cs="Traditional Arabic"/>
          <w:b/>
          <w:bCs/>
          <w:sz w:val="28"/>
          <w:szCs w:val="28"/>
          <w:rtl/>
        </w:rPr>
      </w:pPr>
      <w:r w:rsidRPr="00E13099">
        <w:rPr>
          <w:rFonts w:ascii="Traditional Arabic" w:hAnsi="Traditional Arabic" w:cs="Traditional Arabic" w:hint="cs"/>
          <w:b/>
          <w:bCs/>
          <w:sz w:val="28"/>
          <w:szCs w:val="28"/>
          <w:highlight w:val="yellow"/>
          <w:rtl/>
        </w:rPr>
        <w:t>3</w:t>
      </w:r>
      <w:r w:rsidRPr="00E13099">
        <w:rPr>
          <w:rFonts w:ascii="Traditional Arabic" w:hAnsi="Traditional Arabic" w:cs="Traditional Arabic"/>
          <w:b/>
          <w:bCs/>
          <w:sz w:val="28"/>
          <w:szCs w:val="28"/>
          <w:highlight w:val="yellow"/>
        </w:rPr>
        <w:t xml:space="preserve">. </w:t>
      </w:r>
      <w:r w:rsidRPr="00E13099">
        <w:rPr>
          <w:rFonts w:ascii="Traditional Arabic" w:hAnsi="Traditional Arabic" w:cs="Traditional Arabic"/>
          <w:b/>
          <w:bCs/>
          <w:sz w:val="28"/>
          <w:szCs w:val="28"/>
          <w:highlight w:val="yellow"/>
          <w:rtl/>
        </w:rPr>
        <w:t>المعالجة التحليلية للموضوع</w:t>
      </w:r>
    </w:p>
    <w:p w14:paraId="4CB2910D" w14:textId="77777777" w:rsidR="002E6E11" w:rsidRPr="00D65BBC" w:rsidRDefault="002E6E11" w:rsidP="002E6E11">
      <w:pPr>
        <w:bidi/>
        <w:jc w:val="both"/>
        <w:rPr>
          <w:rFonts w:ascii="Traditional Arabic" w:hAnsi="Traditional Arabic" w:cs="Traditional Arabic"/>
          <w:b/>
          <w:bCs/>
          <w:sz w:val="28"/>
          <w:szCs w:val="28"/>
          <w:rtl/>
        </w:rPr>
      </w:pPr>
      <w:r w:rsidRPr="00E13099">
        <w:rPr>
          <w:rFonts w:ascii="Traditional Arabic" w:hAnsi="Traditional Arabic" w:cs="Traditional Arabic" w:hint="cs"/>
          <w:b/>
          <w:bCs/>
          <w:sz w:val="28"/>
          <w:szCs w:val="28"/>
          <w:highlight w:val="yellow"/>
          <w:rtl/>
        </w:rPr>
        <w:t>3</w:t>
      </w:r>
      <w:r w:rsidRPr="00E13099">
        <w:rPr>
          <w:rFonts w:ascii="Traditional Arabic" w:hAnsi="Traditional Arabic" w:cs="Traditional Arabic"/>
          <w:b/>
          <w:bCs/>
          <w:sz w:val="28"/>
          <w:szCs w:val="28"/>
          <w:highlight w:val="yellow"/>
          <w:rtl/>
        </w:rPr>
        <w:t>-1</w:t>
      </w:r>
      <w:r w:rsidRPr="00E13099">
        <w:rPr>
          <w:rFonts w:ascii="Traditional Arabic" w:hAnsi="Traditional Arabic" w:cs="Traditional Arabic"/>
          <w:b/>
          <w:bCs/>
          <w:sz w:val="28"/>
          <w:szCs w:val="28"/>
          <w:highlight w:val="yellow"/>
        </w:rPr>
        <w:t xml:space="preserve">. </w:t>
      </w:r>
      <w:r w:rsidRPr="00E13099">
        <w:rPr>
          <w:rFonts w:ascii="Traditional Arabic" w:hAnsi="Traditional Arabic" w:cs="Traditional Arabic"/>
          <w:b/>
          <w:bCs/>
          <w:sz w:val="28"/>
          <w:szCs w:val="28"/>
          <w:highlight w:val="yellow"/>
          <w:rtl/>
        </w:rPr>
        <w:t>دراسة النم</w:t>
      </w:r>
      <w:r>
        <w:rPr>
          <w:rFonts w:ascii="Traditional Arabic" w:hAnsi="Traditional Arabic" w:cs="Traditional Arabic" w:hint="cs"/>
          <w:b/>
          <w:bCs/>
          <w:sz w:val="28"/>
          <w:szCs w:val="28"/>
          <w:highlight w:val="yellow"/>
          <w:rtl/>
        </w:rPr>
        <w:t>ط</w:t>
      </w:r>
      <w:r w:rsidRPr="00E13099">
        <w:rPr>
          <w:rFonts w:ascii="Traditional Arabic" w:hAnsi="Traditional Arabic" w:cs="Traditional Arabic"/>
          <w:b/>
          <w:bCs/>
          <w:sz w:val="28"/>
          <w:szCs w:val="28"/>
          <w:highlight w:val="yellow"/>
          <w:rtl/>
        </w:rPr>
        <w:t xml:space="preserve"> الثلاثي الوضعي لشوالتر في رواية "سندريلات مسقط</w:t>
      </w:r>
      <w:r w:rsidRPr="00E13099">
        <w:rPr>
          <w:rFonts w:ascii="Traditional Arabic" w:hAnsi="Traditional Arabic" w:cs="Traditional Arabic"/>
          <w:b/>
          <w:bCs/>
          <w:sz w:val="28"/>
          <w:szCs w:val="28"/>
          <w:highlight w:val="yellow"/>
        </w:rPr>
        <w:t>"</w:t>
      </w:r>
    </w:p>
    <w:p w14:paraId="797388FE"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يتم فحص وتحليل المكونات الأنثوية المنعكسة في رواية "سندريلات مسقط" بناءً على النموذج الثلاثي الوضعي لشوالتر على النحو التالي</w:t>
      </w:r>
      <w:r w:rsidRPr="00A9675D">
        <w:rPr>
          <w:rFonts w:ascii="Traditional Arabic" w:hAnsi="Traditional Arabic" w:cs="Traditional Arabic"/>
          <w:sz w:val="28"/>
          <w:szCs w:val="28"/>
        </w:rPr>
        <w:t>.</w:t>
      </w:r>
    </w:p>
    <w:p w14:paraId="605B8057" w14:textId="77777777" w:rsidR="002E6E11" w:rsidRDefault="002E6E11" w:rsidP="002E6E11">
      <w:pPr>
        <w:bidi/>
        <w:jc w:val="both"/>
        <w:rPr>
          <w:rFonts w:ascii="Traditional Arabic" w:hAnsi="Traditional Arabic" w:cs="Traditional Arabic"/>
          <w:b/>
          <w:bCs/>
          <w:sz w:val="28"/>
          <w:szCs w:val="28"/>
          <w:rtl/>
        </w:rPr>
      </w:pPr>
      <w:r w:rsidRPr="005850C6">
        <w:rPr>
          <w:rFonts w:ascii="Traditional Arabic" w:hAnsi="Traditional Arabic" w:cs="Traditional Arabic" w:hint="cs"/>
          <w:b/>
          <w:bCs/>
          <w:sz w:val="28"/>
          <w:szCs w:val="28"/>
          <w:highlight w:val="yellow"/>
          <w:rtl/>
        </w:rPr>
        <w:lastRenderedPageBreak/>
        <w:t>3</w:t>
      </w:r>
      <w:r w:rsidRPr="005850C6">
        <w:rPr>
          <w:rFonts w:ascii="Traditional Arabic" w:hAnsi="Traditional Arabic" w:cs="Traditional Arabic"/>
          <w:b/>
          <w:bCs/>
          <w:sz w:val="28"/>
          <w:szCs w:val="28"/>
          <w:highlight w:val="yellow"/>
          <w:rtl/>
        </w:rPr>
        <w:t>-1-1</w:t>
      </w:r>
      <w:r w:rsidRPr="005850C6">
        <w:rPr>
          <w:rFonts w:ascii="Traditional Arabic" w:hAnsi="Traditional Arabic" w:cs="Traditional Arabic"/>
          <w:b/>
          <w:bCs/>
          <w:sz w:val="28"/>
          <w:szCs w:val="28"/>
          <w:highlight w:val="yellow"/>
        </w:rPr>
        <w:t xml:space="preserve">. </w:t>
      </w:r>
      <w:r w:rsidRPr="005850C6">
        <w:rPr>
          <w:rFonts w:ascii="Traditional Arabic" w:hAnsi="Traditional Arabic" w:cs="Traditional Arabic" w:hint="cs"/>
          <w:b/>
          <w:bCs/>
          <w:sz w:val="28"/>
          <w:szCs w:val="28"/>
          <w:highlight w:val="yellow"/>
          <w:rtl/>
        </w:rPr>
        <w:t>الم</w:t>
      </w:r>
      <w:r w:rsidRPr="005850C6">
        <w:rPr>
          <w:rFonts w:ascii="Traditional Arabic" w:hAnsi="Traditional Arabic" w:cs="Traditional Arabic"/>
          <w:b/>
          <w:bCs/>
          <w:sz w:val="28"/>
          <w:szCs w:val="28"/>
          <w:highlight w:val="yellow"/>
          <w:rtl/>
        </w:rPr>
        <w:t>رحلة الأنثوية</w:t>
      </w:r>
      <w:r w:rsidRPr="005850C6">
        <w:rPr>
          <w:rStyle w:val="FootnoteReference"/>
          <w:rFonts w:ascii="Traditional Arabic" w:hAnsi="Traditional Arabic" w:cs="Traditional Arabic"/>
          <w:b/>
          <w:bCs/>
          <w:sz w:val="28"/>
          <w:szCs w:val="28"/>
          <w:highlight w:val="yellow"/>
          <w:rtl/>
        </w:rPr>
        <w:footnoteReference w:id="4"/>
      </w:r>
      <w:r w:rsidRPr="005850C6">
        <w:rPr>
          <w:rFonts w:ascii="Traditional Arabic" w:hAnsi="Traditional Arabic" w:cs="Traditional Arabic"/>
          <w:b/>
          <w:bCs/>
          <w:sz w:val="28"/>
          <w:szCs w:val="28"/>
          <w:rtl/>
        </w:rPr>
        <w:t xml:space="preserve"> </w:t>
      </w:r>
    </w:p>
    <w:p w14:paraId="3157846A" w14:textId="77777777" w:rsidR="002E6E11" w:rsidRPr="005850C6" w:rsidRDefault="002E6E11" w:rsidP="002E6E11">
      <w:pPr>
        <w:bidi/>
        <w:jc w:val="both"/>
        <w:rPr>
          <w:rFonts w:ascii="Traditional Arabic" w:hAnsi="Traditional Arabic" w:cs="Traditional Arabic"/>
          <w:b/>
          <w:bCs/>
          <w:sz w:val="28"/>
          <w:szCs w:val="28"/>
          <w:rtl/>
        </w:rPr>
      </w:pPr>
      <w:r w:rsidRPr="00A9675D">
        <w:rPr>
          <w:rFonts w:ascii="Traditional Arabic" w:hAnsi="Traditional Arabic" w:cs="Traditional Arabic"/>
          <w:sz w:val="28"/>
          <w:szCs w:val="28"/>
          <w:rtl/>
        </w:rPr>
        <w:t>توضح شوالتر في كتابها "أدب خاص بهن" (1977) أن مرحلة الانصياع الأنثوي هي المرحلة التي تقلد فيها النساء</w:t>
      </w:r>
      <w:r w:rsidRPr="00A9675D">
        <w:rPr>
          <w:rFonts w:ascii="Traditional Arabic" w:hAnsi="Traditional Arabic" w:cs="Traditional Arabic"/>
          <w:sz w:val="28"/>
          <w:szCs w:val="28"/>
        </w:rPr>
        <w:t xml:space="preserve"> (Feminine) </w:t>
      </w:r>
      <w:r w:rsidRPr="00A9675D">
        <w:rPr>
          <w:rFonts w:ascii="Traditional Arabic" w:hAnsi="Traditional Arabic" w:cs="Traditional Arabic"/>
          <w:sz w:val="28"/>
          <w:szCs w:val="28"/>
          <w:rtl/>
        </w:rPr>
        <w:t>المعايير الفنية الذكورية وتستدمجها</w:t>
      </w:r>
      <w:r w:rsidRPr="00A9675D">
        <w:rPr>
          <w:rFonts w:ascii="Traditional Arabic" w:hAnsi="Traditional Arabic" w:cs="Traditional Arabic"/>
          <w:sz w:val="28"/>
          <w:szCs w:val="28"/>
        </w:rPr>
        <w:t>.</w:t>
      </w:r>
    </w:p>
    <w:p w14:paraId="057FA530"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في رواية هدى حمد، نرى أن تهاني، بسبب ملاحظتها السلوك غير اللائق والتناقضات في سلوك زوجها تجاهها، تعاني باستمرار من آلام ومعاناة مستمرة. في هذه الرواية، تهاني هي امرأة استدمجت الأدوار التقليدية بشكل كامل. تدور حياتها بشكل آلي حول خدمة زوجها (يوسف) وبناتها الثلاث دون أي تفكير في ذاتها أو احتياجاتها الشخصية، وهي تقيس نجاحها كامرأة بمدى كفاءتها في أداء هذه الأدوار. تمثل تهاني النموذج الأول في نظرية إيلين شوالتر. هذه الشخصية لا تُحدث أي تغيير في حياتها، وتستسلم بالكامل للنموذج الأبوي وتقلد صورة المرأة المثالية النمطية (الزوجة والأم المضحية)، وتكون الهوية الأنثوية المستقلة أقل ظهورًا في هذه الشخصية</w:t>
      </w:r>
      <w:r w:rsidRPr="00A9675D">
        <w:rPr>
          <w:rFonts w:ascii="Traditional Arabic" w:hAnsi="Traditional Arabic" w:cs="Traditional Arabic"/>
          <w:sz w:val="28"/>
          <w:szCs w:val="28"/>
        </w:rPr>
        <w:t>.</w:t>
      </w:r>
    </w:p>
    <w:p w14:paraId="0CF0CB47"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أُغْلِي الْحَلِيبَ، وَأُسَخِّنُ الْخُبْزَ الْمَجْمُدَ فِي الثَّلَّاجَةِ. أَنْتَهِي مِنْ ذَلِكَ فِي أَقَلِّ مِنْ عَشْرِ دَقَائِقَ. أَشْعُرُ بِقَلِيلٍ مِنَ التَّذَمُّرِ، لِأَنَّ اللَّحْظَةَ الْمُقْبِلَةَ هِيَ الْأَكْثَرُ سُوءًا عَلَى الْإِطْلَاقِ. أَصْعَدُ إِلَى غُرْفَةِ بَنَاتِيَ الثَّلَاثِ" (حمد، </w:t>
      </w:r>
      <w:r w:rsidRPr="00A9675D">
        <w:rPr>
          <w:rFonts w:ascii="Traditional Arabic" w:hAnsi="Traditional Arabic" w:cs="Traditional Arabic"/>
          <w:sz w:val="28"/>
          <w:szCs w:val="28"/>
          <w:rtl/>
          <w:lang w:bidi="fa-IR"/>
        </w:rPr>
        <w:t xml:space="preserve">۲۰۱۶: </w:t>
      </w:r>
      <w:r w:rsidRPr="00A9675D">
        <w:rPr>
          <w:rFonts w:ascii="Traditional Arabic" w:hAnsi="Traditional Arabic" w:cs="Traditional Arabic"/>
          <w:sz w:val="28"/>
          <w:szCs w:val="28"/>
          <w:rtl/>
        </w:rPr>
        <w:t>90)</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تشير عبارة "أَشْعُرُ بِقَلِيلٍ مِنَ التَّذَمُّرِ" (أشعر بالقليل من السخط) إلى أن تهاني ليست راضية تمامًا عما تفعله، لكن هذا الاستياء طفيف جدًا وجزئي. هذا "الاستياء الجزئي" يمكن أن يعكس قبولها لمصيرها ودورها. تشير "اللحظة المقبلة هي الأسوأ على الإطلاق" إلى أن تهاني قد تحملت العديد من المسؤوليات في منزلها دون أي تفكير في ذاتها أو احتياجاتها الشخصية، وترى هويتها في هذه الأدوار</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هذا الوصف الطويل والمتعب للروتين الصباحي لـ "تهاني"، على لسانها، يمثل المرحلة الأنثوية</w:t>
      </w:r>
      <w:r w:rsidRPr="00A9675D">
        <w:rPr>
          <w:rFonts w:ascii="Traditional Arabic" w:hAnsi="Traditional Arabic" w:cs="Traditional Arabic"/>
          <w:sz w:val="28"/>
          <w:szCs w:val="28"/>
        </w:rPr>
        <w:t xml:space="preserve"> (Feminine Phase) </w:t>
      </w:r>
      <w:r w:rsidRPr="00A9675D">
        <w:rPr>
          <w:rFonts w:ascii="Traditional Arabic" w:hAnsi="Traditional Arabic" w:cs="Traditional Arabic"/>
          <w:sz w:val="28"/>
          <w:szCs w:val="28"/>
          <w:rtl/>
        </w:rPr>
        <w:t>في نظرية إيلين شوالتر. لأنه في هذه المرحلة، تُعرّف النساء هويتهن وتتقبلها بالكامل داخل الأدوار التقليدية، دون طرح أي سؤال أو اعتراض. التركيز المطلق على تلبية احتياجات الآخرين (الزوج والأطفال) وعدم وجود أدنى إشارة إلى الاحتياجات أو الرغبات أو الملذات الشخصية ("دون أن تفكر في نفسها حتى للحظة") يدل على ذوبان "الأنا" في وجود تهاني. لقد ذابت هويتها الفردية تمامًا في دورها كزوجة وأم</w:t>
      </w:r>
      <w:r w:rsidRPr="00A9675D">
        <w:rPr>
          <w:rFonts w:ascii="Traditional Arabic" w:hAnsi="Traditional Arabic" w:cs="Traditional Arabic"/>
          <w:sz w:val="28"/>
          <w:szCs w:val="28"/>
        </w:rPr>
        <w:t>.</w:t>
      </w:r>
    </w:p>
    <w:p w14:paraId="0CB3160C"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عالمي صغير للغاية ومُخلق، لديِّ كلَ شيء، بيت جيدٍ، طعام نظيف، زوج مُحبّ. وقد يتساءل البعض عن حاجتي للتخليّ عن كلّ هذا" (حمد، </w:t>
      </w:r>
      <w:r w:rsidRPr="00A9675D">
        <w:rPr>
          <w:rFonts w:ascii="Traditional Arabic" w:hAnsi="Traditional Arabic" w:cs="Traditional Arabic"/>
          <w:sz w:val="28"/>
          <w:szCs w:val="28"/>
          <w:rtl/>
          <w:lang w:bidi="fa-IR"/>
        </w:rPr>
        <w:t xml:space="preserve">۲۰۱۶: </w:t>
      </w:r>
      <w:r w:rsidRPr="00A9675D">
        <w:rPr>
          <w:rFonts w:ascii="Traditional Arabic" w:hAnsi="Traditional Arabic" w:cs="Traditional Arabic"/>
          <w:sz w:val="28"/>
          <w:szCs w:val="28"/>
          <w:rtl/>
        </w:rPr>
        <w:t>81)</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في هذه العبارة، تظهر كلمة "مُخْلَقٌ" (بالي، متقادم) عمق استياء تهاني. "لَدَيَّ كُلُّ شَيْءٍ" (لدي كل شيء) إيجابية في الظاهر، ولكن في سياق الجملة السابقة، تشير تهاني بسخرية إلى أشياء قد يراها المجتمع "نعمًا"، لكنها لا تكفيها. تشير هذه الجملة بوضوح إلى التناقض الداخلي لتهاني كربة منزل، من ناحية، يبدو أنها </w:t>
      </w:r>
      <w:r w:rsidRPr="005036A4">
        <w:rPr>
          <w:rFonts w:ascii="Traditional Arabic" w:hAnsi="Traditional Arabic" w:cs="Traditional Arabic"/>
          <w:sz w:val="28"/>
          <w:szCs w:val="28"/>
          <w:highlight w:val="yellow"/>
          <w:rtl/>
        </w:rPr>
        <w:t>تمتلک</w:t>
      </w:r>
      <w:r w:rsidRPr="00A9675D">
        <w:rPr>
          <w:rFonts w:ascii="Traditional Arabic" w:hAnsi="Traditional Arabic" w:cs="Traditional Arabic"/>
          <w:sz w:val="28"/>
          <w:szCs w:val="28"/>
          <w:rtl/>
        </w:rPr>
        <w:t xml:space="preserve"> كل "نعم" الحياة الهادئة المادية والعاطفية، ولكن من ناحية أخرى، ترى نفسها محصورة في "عالم صغير وبالي</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يتضح من خلال جملة تهاني "عالمي صغير للغاية ومُخلق، لديِّ كلَ شيء، بيت جيدٍ، </w:t>
      </w:r>
      <w:r w:rsidRPr="00A9675D">
        <w:rPr>
          <w:rFonts w:ascii="Traditional Arabic" w:hAnsi="Traditional Arabic" w:cs="Traditional Arabic"/>
          <w:sz w:val="28"/>
          <w:szCs w:val="28"/>
          <w:rtl/>
        </w:rPr>
        <w:lastRenderedPageBreak/>
        <w:t xml:space="preserve">طعام نظيف، زوج مُحبّ..." أنها تقدم قائمة بمعايير المجتمع الأبوي التقليدية لـ "الحياة المثالية للمرأة". إن تهاني تقيس ذاتها بناءً على هذه المعايير الخارجية ذاتها، مما يُظهر استدماجًا كاملاً للقيم الأبوية؛ بمعنى آخر، فإن </w:t>
      </w:r>
      <w:r w:rsidRPr="005036A4">
        <w:rPr>
          <w:rFonts w:ascii="Traditional Arabic" w:hAnsi="Traditional Arabic" w:cs="Traditional Arabic"/>
          <w:sz w:val="28"/>
          <w:szCs w:val="28"/>
          <w:highlight w:val="yellow"/>
          <w:rtl/>
        </w:rPr>
        <w:t>لغتها</w:t>
      </w:r>
      <w:r w:rsidRPr="00A9675D">
        <w:rPr>
          <w:rFonts w:ascii="Traditional Arabic" w:hAnsi="Traditional Arabic" w:cs="Traditional Arabic"/>
          <w:sz w:val="28"/>
          <w:szCs w:val="28"/>
          <w:rtl/>
        </w:rPr>
        <w:t xml:space="preserve"> وتفكيرها يعيدان إنتاج نفس الأطر الأبوية</w:t>
      </w:r>
      <w:r w:rsidRPr="00A9675D">
        <w:rPr>
          <w:rFonts w:ascii="Traditional Arabic" w:hAnsi="Traditional Arabic" w:cs="Traditional Arabic"/>
          <w:sz w:val="28"/>
          <w:szCs w:val="28"/>
        </w:rPr>
        <w:t>.</w:t>
      </w:r>
    </w:p>
    <w:p w14:paraId="4D618720"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عبارة "وقد يتساءل البعض عن حاجتي للتخليّ عن كلّ هذا" تُظهر أيضًا أنها تشعر بشدة بضغط المجتمع ونظرة الآخرين. هي تدرك أن الخروج عن هذه الأدوار الراسخة وتحدي التوقعات الاجتماعية سيبدو "غير منطقي" أو "غير مبرر" في أعين الآخرين. هذه ردود الفعل هي انعكاس مباشر لـ "البنى القمعية" التي تركز عليها النظرية النسوية. في هذا المجتمع، تستمد تهاني هويتها وقيمتها وكينونتها حصراً من داخل الأطر التي حددها المجتمع الأبوي؛ دون أن تتخيل إمكانية وجود طريقة أخرى للوجود أو أن تعترض عليها.</w:t>
      </w:r>
    </w:p>
    <w:p w14:paraId="3189BC61"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النساء الجيّدات يفعلن ذلك ولا ينتظرن شيئًا" - يحمل استخدام الصفة "الجيّدات" في هذه العبارة دلالة أخلاقية واجتماعية. هذه الصفة لا تشير إلى الكفاءة أو الجدارة، بل إلى الفضيلة والطاعة. يحوّل هذا السلوك إلى معيار لقياس القيمة الأخلاقية للمرأة</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هذه الجملة هي انعكاس واضح للمعايير الأبوية التي تُعرِّف "المرأة الجيدة" فقط من خلال الطاعة والخدمة وانعدام التوقعات. في هذه الجملة، التي تنطوي أيضًا على نقد ضمني، تقيس تهاني قيمتها وهويتها من خلال عيني الآخر (الرجل والمجتمع)، ويكون رضاها عن "كونها جيدة" مرهونًا بالعمل وفق الأدوار التقليدية. يمثل هذا الموقف رمزًا واضحًا لمرحلة الانصياع في نظرية شوالتر، حيث تعيد النساء، دون اعتراض، إنتاج أعمق طبقات الخطاب المهيمن ويخضعن له. </w:t>
      </w:r>
    </w:p>
    <w:p w14:paraId="0C0CA258"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في جزء آخر من رواية تهاني، تشير إلى اتهامها الدائم بالخطأ بهذه العبارات: "أتي تقول، لا يمكن أبدًا إلّا أن أكون أنا المُخطئة". أداة الحصر "إلا" (سوى/إلا) في هذه العبارة، تُستخدم حصريًا لإلقاء اللوم على تهاني في جميع الأمور. هذه الجمل تمثل رمزًا واضحًا للأجواء القمعية والمقيدة للمرحلة الأولى (الأنثوية) في نظرية شوالتر، وفي الوقت نفسه تحتوي على بذرة الوعي النقدي الذي يؤدي إلى المرحلة الثانية (النسوية). هذا يظهر كيف أن تهاني استوعبت القيم الأبوية وتأخذ الآخر كنقطة مرجعية بدل نفسها. عبارة "أنا المُخطئة" توضح كيف يضع الخطاب الأبوي عبء الحفاظ على التماسك والانسجام العائلي على عاتق المرأة بشكل أحادي وكامل. هذه الآلية الرقابية تضع المرأة في موقع دفاعي وضعيف، وتجعلها محور "اللوم". ومع ذلك، تُعد جملة "أتي تقول..." نوعًا من العمل الاحتجاجي الصغير ولكنه ذي معنى. في هذه اللحظة، تُبرز المرأة الوضع الظالم وتفضحه. هذه الخطوة الأولى لتحدي البنية الأبوية. من خلال هذا التعبير، تحدد تهاني بوضوح هيكلًا غير عادل تُعرف فيه، لمجرد كونها امرأة، بأنها "الذنبي المحدد مسبقًا". هذا التحديد علامة على بروز الوعي النسوي الذي يُدرك فيه أن المشكلة ليست فشلها الفردي، بل نمط منهجي يتكرر داخل المجتمع. هذا التوتر بين القبول والاعتراض هو بالضبط النقطة الفاصلة التي تصفها شوالتر كمرحلة الانتقال من الصمت والطاعة إلى الصوت المستقل والمقاومة النسائية</w:t>
      </w:r>
      <w:r w:rsidRPr="00A9675D">
        <w:rPr>
          <w:rFonts w:ascii="Traditional Arabic" w:hAnsi="Traditional Arabic" w:cs="Traditional Arabic"/>
          <w:sz w:val="28"/>
          <w:szCs w:val="28"/>
        </w:rPr>
        <w:t>.</w:t>
      </w:r>
    </w:p>
    <w:p w14:paraId="5BBCB9EC"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تهاني تمثل مثالًا على استبطان الدور الأنثوي. فهي ترى نفسها محدودة ضمن فضاء المنزل وتوقعات الزوج والعائلة، ولا تملك أي سلطة أو إمكانية للاعتراض العلني. هذا السلوك هو تجسيد للمرحلة الأنثوية (</w:t>
      </w:r>
      <w:r w:rsidRPr="00A9675D">
        <w:rPr>
          <w:rFonts w:ascii="Traditional Arabic" w:hAnsi="Traditional Arabic" w:cs="Traditional Arabic"/>
          <w:sz w:val="28"/>
          <w:szCs w:val="28"/>
        </w:rPr>
        <w:t>Feminine</w:t>
      </w:r>
      <w:r w:rsidRPr="00A9675D">
        <w:rPr>
          <w:rFonts w:ascii="Traditional Arabic" w:hAnsi="Traditional Arabic" w:cs="Traditional Arabic"/>
          <w:sz w:val="28"/>
          <w:szCs w:val="28"/>
          <w:rtl/>
        </w:rPr>
        <w:t xml:space="preserve">) التي تعرف فيها النساء أنفسهن تابعين و"آخرين" </w:t>
      </w:r>
      <w:r w:rsidRPr="00A9675D">
        <w:rPr>
          <w:rFonts w:ascii="Traditional Arabic" w:hAnsi="Traditional Arabic" w:cs="Traditional Arabic"/>
          <w:sz w:val="28"/>
          <w:szCs w:val="28"/>
          <w:rtl/>
        </w:rPr>
        <w:lastRenderedPageBreak/>
        <w:t>وفق المعايير الاجتماعية. في هذه المرحلة، لا تمتلك النساء صوتًا مستقلاً أو اعتراضًا صريحًا، ويتكيفن مع القيود غالبًا من خلال الانفعال والانطواء.</w:t>
      </w:r>
    </w:p>
    <w:p w14:paraId="72357629" w14:textId="77777777" w:rsidR="002E6E11" w:rsidRPr="00A9675D" w:rsidRDefault="002E6E11" w:rsidP="002E6E11">
      <w:pPr>
        <w:bidi/>
        <w:jc w:val="both"/>
        <w:rPr>
          <w:rFonts w:ascii="Traditional Arabic" w:hAnsi="Traditional Arabic" w:cs="Traditional Arabic"/>
          <w:b/>
          <w:bCs/>
          <w:sz w:val="28"/>
          <w:szCs w:val="28"/>
          <w:rtl/>
        </w:rPr>
      </w:pPr>
      <w:r w:rsidRPr="00E13099">
        <w:rPr>
          <w:rFonts w:ascii="Traditional Arabic" w:hAnsi="Traditional Arabic" w:cs="Traditional Arabic" w:hint="cs"/>
          <w:b/>
          <w:bCs/>
          <w:sz w:val="28"/>
          <w:szCs w:val="28"/>
          <w:highlight w:val="yellow"/>
          <w:rtl/>
        </w:rPr>
        <w:t>3</w:t>
      </w:r>
      <w:r w:rsidRPr="00E13099">
        <w:rPr>
          <w:rFonts w:ascii="Traditional Arabic" w:hAnsi="Traditional Arabic" w:cs="Traditional Arabic"/>
          <w:b/>
          <w:bCs/>
          <w:sz w:val="28"/>
          <w:szCs w:val="28"/>
          <w:highlight w:val="yellow"/>
          <w:rtl/>
        </w:rPr>
        <w:t>-1-2</w:t>
      </w:r>
      <w:r w:rsidRPr="00E13099">
        <w:rPr>
          <w:rFonts w:ascii="Traditional Arabic" w:hAnsi="Traditional Arabic" w:cs="Traditional Arabic"/>
          <w:b/>
          <w:bCs/>
          <w:sz w:val="28"/>
          <w:szCs w:val="28"/>
          <w:highlight w:val="yellow"/>
        </w:rPr>
        <w:t xml:space="preserve">. </w:t>
      </w:r>
      <w:r w:rsidRPr="00E13099">
        <w:rPr>
          <w:rFonts w:ascii="Traditional Arabic" w:hAnsi="Traditional Arabic" w:cs="Traditional Arabic"/>
          <w:b/>
          <w:bCs/>
          <w:sz w:val="28"/>
          <w:szCs w:val="28"/>
          <w:highlight w:val="yellow"/>
          <w:rtl/>
        </w:rPr>
        <w:t>المرحلة النسوي</w:t>
      </w:r>
      <w:r>
        <w:rPr>
          <w:rFonts w:ascii="Traditional Arabic" w:hAnsi="Traditional Arabic" w:cs="Traditional Arabic" w:hint="cs"/>
          <w:b/>
          <w:bCs/>
          <w:sz w:val="28"/>
          <w:szCs w:val="28"/>
          <w:highlight w:val="yellow"/>
          <w:rtl/>
        </w:rPr>
        <w:t>ة</w:t>
      </w:r>
      <w:r>
        <w:rPr>
          <w:rStyle w:val="FootnoteReference"/>
          <w:rFonts w:ascii="Traditional Arabic" w:hAnsi="Traditional Arabic" w:cs="Traditional Arabic"/>
          <w:b/>
          <w:bCs/>
          <w:sz w:val="28"/>
          <w:szCs w:val="28"/>
          <w:highlight w:val="yellow"/>
          <w:rtl/>
        </w:rPr>
        <w:footnoteReference w:id="5"/>
      </w:r>
    </w:p>
    <w:p w14:paraId="08030486"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"في المرحلة النسوية، تبدأ الشخصيات النسائية بمواجهة القيود المفروضة عليهن تدريجيًا، عبر احتجاجات صريحة أو رمزية، تتراوح بين أعمال فردية صغيرة وحركات جماعية ذات دلالات قوية</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توضح شوالتر في كتابها "أدب خاص بهن" (1977) أنه في المرحلة النسوية</w:t>
      </w:r>
      <w:r w:rsidRPr="00A9675D">
        <w:rPr>
          <w:rFonts w:ascii="Traditional Arabic" w:hAnsi="Traditional Arabic" w:cs="Traditional Arabic"/>
          <w:sz w:val="28"/>
          <w:szCs w:val="28"/>
        </w:rPr>
        <w:t xml:space="preserve"> (Feminist)</w:t>
      </w:r>
      <w:r w:rsidRPr="00A9675D">
        <w:rPr>
          <w:rFonts w:ascii="Traditional Arabic" w:hAnsi="Traditional Arabic" w:cs="Traditional Arabic"/>
          <w:sz w:val="28"/>
          <w:szCs w:val="28"/>
          <w:rtl/>
        </w:rPr>
        <w:t>، فإن النساء "يعترضن" ويهاجمن القيم السائدة</w:t>
      </w:r>
      <w:r w:rsidRPr="00A9675D">
        <w:rPr>
          <w:rFonts w:ascii="Traditional Arabic" w:hAnsi="Traditional Arabic" w:cs="Traditional Arabic"/>
          <w:sz w:val="28"/>
          <w:szCs w:val="28"/>
        </w:rPr>
        <w:t>.</w:t>
      </w:r>
    </w:p>
    <w:p w14:paraId="76D14572"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 xml:space="preserve">في رواية ربيعة، تواجه قيودًا في علاقتها بزوجها تدفعها إلى التعبير عن احتجاجها: "أنا امرأة تركض... حصل ذلك عندما كنتُ طفلة، </w:t>
      </w:r>
      <w:r w:rsidRPr="005036A4">
        <w:rPr>
          <w:rFonts w:ascii="Traditional Arabic" w:hAnsi="Traditional Arabic" w:cs="Traditional Arabic"/>
          <w:sz w:val="28"/>
          <w:szCs w:val="28"/>
          <w:highlight w:val="yellow"/>
          <w:rtl/>
        </w:rPr>
        <w:t>وقدماي</w:t>
      </w:r>
      <w:r>
        <w:rPr>
          <w:rFonts w:ascii="Traditional Arabic" w:hAnsi="Traditional Arabic" w:cs="Traditional Arabic" w:hint="cs"/>
          <w:sz w:val="28"/>
          <w:szCs w:val="28"/>
          <w:rtl/>
        </w:rPr>
        <w:t xml:space="preserve"> </w:t>
      </w:r>
      <w:r w:rsidRPr="00A9675D">
        <w:rPr>
          <w:rFonts w:ascii="Traditional Arabic" w:hAnsi="Traditional Arabic" w:cs="Traditional Arabic"/>
          <w:sz w:val="28"/>
          <w:szCs w:val="28"/>
          <w:rtl/>
        </w:rPr>
        <w:t>لم تكونا تقدران على الركض" (حمد، 2016: 86). استخدام الفعل المضارع "تَرْكُضُ" يدل على الاستمرارية. يصور هذا الفعل ربيعة في حالة حركة وديناميكية دائمة. في الواقع، الجري بالنسبة لربيعة هو استعارة للحرية والهروب من سجن الزواج والعلاقة الأحادية مع زوجها "رائد". في رواية ربيعة، احتجاجها هو اعتراض على الحبس في دوري الزوجة وربة المنزل، ومحاولة للتحرر الجسدي والنفسي من زوج لا يسمح لها حتى بأن تصبح أماً</w:t>
      </w:r>
      <w:r w:rsidRPr="00A9675D">
        <w:rPr>
          <w:rFonts w:ascii="Traditional Arabic" w:hAnsi="Traditional Arabic" w:cs="Traditional Arabic"/>
          <w:sz w:val="28"/>
          <w:szCs w:val="28"/>
        </w:rPr>
        <w:t>.</w:t>
      </w:r>
    </w:p>
    <w:p w14:paraId="55620C2A" w14:textId="77777777" w:rsidR="002E6E11" w:rsidRPr="00A9675D" w:rsidRDefault="002E6E11" w:rsidP="002E6E11">
      <w:pPr>
        <w:bidi/>
        <w:jc w:val="both"/>
        <w:rPr>
          <w:rFonts w:ascii="Traditional Arabic" w:hAnsi="Traditional Arabic" w:cs="Traditional Arabic"/>
          <w:sz w:val="28"/>
          <w:szCs w:val="28"/>
        </w:rPr>
      </w:pP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فَرِحَ بَلْ لِأَنِّي فَقَدْتُ الطِّفْلَ، إِثْرَ نَزِيفٍ حَادٍ وَمُوجِعٍ. كُنْتُ أُغَالِبُ الِانْقِبَاضَاتِ الْحَادَّةَ أَسْفَلَ بَطْنِي فِي الْمُسْتَشْفَى وَأَنَا أَسْأَلُهُ أَلَّا يُزْعِجَكَ شَيْءٌ؟ فَقَالَ لِي وَعَيْنَاهُ تَبْرِقَانِ بِفَرَحٍ لَمْ يَكُنْ يُخَبِّئُهُ عَلَى سَبِيلِ الْمُجَامَلَةِ؟ أَنَا الْيَوْمَ أَفْضَلُ مِنْ أَيِّ وَقْتٍ مَضَى" (</w:t>
      </w:r>
      <w:r w:rsidRPr="00E13099">
        <w:rPr>
          <w:rFonts w:ascii="Traditional Arabic" w:hAnsi="Traditional Arabic" w:cs="Traditional Arabic"/>
          <w:sz w:val="28"/>
          <w:szCs w:val="28"/>
          <w:highlight w:val="yellow"/>
          <w:rtl/>
        </w:rPr>
        <w:t>المصدر نفسه</w:t>
      </w:r>
      <w:r w:rsidRPr="00A9675D">
        <w:rPr>
          <w:rFonts w:ascii="Traditional Arabic" w:hAnsi="Traditional Arabic" w:cs="Traditional Arabic"/>
          <w:sz w:val="28"/>
          <w:szCs w:val="28"/>
          <w:rtl/>
        </w:rPr>
        <w:t>، 2016: 77</w:t>
      </w:r>
      <w:r w:rsidRPr="00A9675D">
        <w:rPr>
          <w:rFonts w:ascii="Traditional Arabic" w:hAnsi="Traditional Arabic" w:cs="Traditional Arabic"/>
          <w:sz w:val="28"/>
          <w:szCs w:val="28"/>
        </w:rPr>
        <w:t>(</w:t>
      </w:r>
    </w:p>
    <w:p w14:paraId="2D799AE0"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تشير عبارة "فَقَدْتُ الطِّفْلَ" مباشرة إلى إجهاض جنينها بألم شديد. النقطة التي أرادت ربيعة الإشارة إليها هي أن الألم الناتج عن الولادة كان أكثر تحملاً بالنسبة لها مقارنة بألم فرح زوجها بإجهاض جنينها. لذلك، يمثل الإجهاض في جملة ربيعة رمزًا للعنف الأبوي الموجه ضد جسدها وتطلعاتها. إذ أن رائد لا يتأثر بهذه الخسارة فحسب، بل يحتفل بها بفرح ("أنا الْيَوْمَ أَفْضَلُ مِنْ أَيِّ وَقْتٍ مَضَى"). وهكذا، بإنكاره حق ربيعة في الأمومة، يفرض عليها قيودًا تُولّد لديها وعيًا بأن علاقتها علاقة قمعية. ومع ذلك، لا يظهر احتجاج ربيعة هذا في شكل أفعال عملية، لأن خوفها الداخلي يمنعها من اتخاذ أي إجراء وترك علاقتها بزوجها</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"لَوْ خَرَجْتُ يَوْمًا مِنْ هَذَا الْبَيْتِ لِأَيِّ سَبَبٍ سَأَسْكُبُ بَنْزِينًا فَوْقَ رَأْسِي" (</w:t>
      </w:r>
      <w:r w:rsidRPr="00E13099">
        <w:rPr>
          <w:rFonts w:ascii="Traditional Arabic" w:hAnsi="Traditional Arabic" w:cs="Traditional Arabic"/>
          <w:sz w:val="28"/>
          <w:szCs w:val="28"/>
          <w:highlight w:val="yellow"/>
          <w:rtl/>
        </w:rPr>
        <w:t>المصدر نفسه،</w:t>
      </w:r>
      <w:r w:rsidRPr="00A9675D">
        <w:rPr>
          <w:rFonts w:ascii="Traditional Arabic" w:hAnsi="Traditional Arabic" w:cs="Traditional Arabic"/>
          <w:sz w:val="28"/>
          <w:szCs w:val="28"/>
          <w:rtl/>
        </w:rPr>
        <w:t xml:space="preserve"> </w:t>
      </w:r>
      <w:r w:rsidRPr="00A9675D">
        <w:rPr>
          <w:rFonts w:ascii="Traditional Arabic" w:hAnsi="Traditional Arabic" w:cs="Traditional Arabic"/>
          <w:sz w:val="28"/>
          <w:szCs w:val="28"/>
          <w:rtl/>
          <w:lang w:bidi="fa-IR"/>
        </w:rPr>
        <w:t xml:space="preserve">۲۰۱۶: </w:t>
      </w:r>
      <w:r w:rsidRPr="00A9675D">
        <w:rPr>
          <w:rFonts w:ascii="Traditional Arabic" w:hAnsi="Traditional Arabic" w:cs="Traditional Arabic"/>
          <w:sz w:val="28"/>
          <w:szCs w:val="28"/>
          <w:rtl/>
        </w:rPr>
        <w:t>81)</w:t>
      </w:r>
      <w:r w:rsidRPr="00A9675D">
        <w:rPr>
          <w:rFonts w:ascii="Traditional Arabic" w:hAnsi="Traditional Arabic" w:cs="Traditional Arabic"/>
          <w:sz w:val="28"/>
          <w:szCs w:val="28"/>
        </w:rPr>
        <w:t>.</w:t>
      </w:r>
    </w:p>
    <w:p w14:paraId="2D374144"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تهديد رائد أدى إلى إثارة الخوف في ربيعة لدرجة أنها، خوفًا من انتحاره، لا تستطيع الانفصال عنه والطلاق منه وتخضع للوضع الراهن. في نهاية رواية ربيعة، تعود ربيعة إلى المنزل خوفًا من انتحار رائد وتخضع للوضع القائم</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"وَمُتَحَفِّزَةٌ لِلرَّكْضِ مَجَدَّدًا. مَاذَا لَوْ كَانَ رَائِدٌ يَسْكُبُ </w:t>
      </w:r>
      <w:r w:rsidRPr="00A9675D">
        <w:rPr>
          <w:rFonts w:ascii="Traditional Arabic" w:hAnsi="Traditional Arabic" w:cs="Traditional Arabic"/>
          <w:sz w:val="28"/>
          <w:szCs w:val="28"/>
          <w:rtl/>
        </w:rPr>
        <w:lastRenderedPageBreak/>
        <w:t>الْبَنْزِينَ عَلَى جَسَدِهِ الْآنَ؟" (</w:t>
      </w:r>
      <w:r w:rsidRPr="00E13099">
        <w:rPr>
          <w:rFonts w:ascii="Traditional Arabic" w:hAnsi="Traditional Arabic" w:cs="Traditional Arabic"/>
          <w:sz w:val="28"/>
          <w:szCs w:val="28"/>
          <w:highlight w:val="yellow"/>
          <w:rtl/>
        </w:rPr>
        <w:t>المصدر</w:t>
      </w:r>
      <w:r w:rsidRPr="00E13099">
        <w:rPr>
          <w:rFonts w:ascii="Traditional Arabic" w:hAnsi="Traditional Arabic" w:cs="Traditional Arabic" w:hint="cs"/>
          <w:sz w:val="28"/>
          <w:szCs w:val="28"/>
          <w:highlight w:val="yellow"/>
          <w:rtl/>
        </w:rPr>
        <w:t xml:space="preserve"> نفسه:</w:t>
      </w:r>
      <w:r w:rsidRPr="00E13099">
        <w:rPr>
          <w:rFonts w:ascii="Traditional Arabic" w:hAnsi="Traditional Arabic" w:cs="Traditional Arabic"/>
          <w:sz w:val="28"/>
          <w:szCs w:val="28"/>
          <w:highlight w:val="yellow"/>
          <w:rtl/>
        </w:rPr>
        <w:t xml:space="preserve"> 86</w:t>
      </w:r>
      <w:r w:rsidRPr="00A9675D">
        <w:rPr>
          <w:rFonts w:ascii="Traditional Arabic" w:hAnsi="Traditional Arabic" w:cs="Traditional Arabic"/>
          <w:sz w:val="28"/>
          <w:szCs w:val="28"/>
          <w:rtl/>
        </w:rPr>
        <w:t>)</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عبارة "مَاذَا لَوْ كَانَ رَائِدٌ يَسْكُبُ الْبَنْزِينَ عَلَى جَسَدِهِ الْآنَ؟" هي أيضًا تعبير يدل على تكرار وتجسيد هذا المشهد في ذهن ربيعة، وقد أصبح عاملاً يؤثر على نفسيتها ويثنيها عن الاحتجاج والطلاق</w:t>
      </w:r>
      <w:r w:rsidRPr="00A9675D">
        <w:rPr>
          <w:rFonts w:ascii="Traditional Arabic" w:hAnsi="Traditional Arabic" w:cs="Traditional Arabic"/>
          <w:sz w:val="28"/>
          <w:szCs w:val="28"/>
        </w:rPr>
        <w:t>.</w:t>
      </w:r>
    </w:p>
    <w:p w14:paraId="3BCFA8E4"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كُنْتُ أَخْشَى التَّخَلِّي كَثِيرًا. أَخَافُ مِنْ مُجَرَّدِ التَّفْكِيرِ فِي أَنَّ ذَلِكَ يُمْكِنُ أَنْ يَحْصُلَ حَقًّا" (</w:t>
      </w:r>
      <w:r w:rsidRPr="00E13099">
        <w:rPr>
          <w:rFonts w:ascii="Traditional Arabic" w:hAnsi="Traditional Arabic" w:cs="Traditional Arabic"/>
          <w:sz w:val="28"/>
          <w:szCs w:val="28"/>
          <w:highlight w:val="yellow"/>
          <w:rtl/>
        </w:rPr>
        <w:t xml:space="preserve">المصدر نفسه، </w:t>
      </w:r>
      <w:r w:rsidRPr="00E13099">
        <w:rPr>
          <w:rFonts w:ascii="Traditional Arabic" w:hAnsi="Traditional Arabic" w:cs="Traditional Arabic"/>
          <w:sz w:val="28"/>
          <w:szCs w:val="28"/>
          <w:highlight w:val="yellow"/>
          <w:rtl/>
          <w:lang w:bidi="fa-IR"/>
        </w:rPr>
        <w:t>۲۰۱۶:</w:t>
      </w:r>
      <w:r w:rsidRPr="00A9675D">
        <w:rPr>
          <w:rFonts w:ascii="Traditional Arabic" w:hAnsi="Traditional Arabic" w:cs="Traditional Arabic"/>
          <w:sz w:val="28"/>
          <w:szCs w:val="28"/>
          <w:rtl/>
          <w:lang w:bidi="fa-IR"/>
        </w:rPr>
        <w:t xml:space="preserve"> </w:t>
      </w:r>
      <w:r w:rsidRPr="00A9675D">
        <w:rPr>
          <w:rFonts w:ascii="Traditional Arabic" w:hAnsi="Traditional Arabic" w:cs="Traditional Arabic"/>
          <w:sz w:val="28"/>
          <w:szCs w:val="28"/>
          <w:rtl/>
        </w:rPr>
        <w:t>85)</w:t>
      </w:r>
      <w:r w:rsidRPr="00A9675D">
        <w:rPr>
          <w:rFonts w:ascii="Traditional Arabic" w:hAnsi="Traditional Arabic" w:cs="Traditional Arabic"/>
          <w:sz w:val="28"/>
          <w:szCs w:val="28"/>
        </w:rPr>
        <w:t>.</w:t>
      </w:r>
    </w:p>
    <w:p w14:paraId="288F0ED8" w14:textId="77777777" w:rsidR="002E6E11" w:rsidRPr="00A9675D" w:rsidRDefault="002E6E11" w:rsidP="002E6E11">
      <w:pPr>
        <w:bidi/>
        <w:jc w:val="both"/>
        <w:rPr>
          <w:rFonts w:ascii="Traditional Arabic" w:hAnsi="Traditional Arabic" w:cs="Traditional Arabic"/>
          <w:sz w:val="28"/>
          <w:szCs w:val="28"/>
        </w:rPr>
      </w:pPr>
      <w:r w:rsidRPr="00A9675D">
        <w:rPr>
          <w:rFonts w:ascii="Traditional Arabic" w:hAnsi="Traditional Arabic" w:cs="Traditional Arabic"/>
          <w:sz w:val="28"/>
          <w:szCs w:val="28"/>
          <w:rtl/>
        </w:rPr>
        <w:t>تشيران عبارتا "أَخَافُ" و "أَخْشَى" بدقة إلى خوف ربيعة من مجرد التفكير في الانفصال. لذلك، بعض الرجال، من خلال ممارسة العنف النفسي ضد النساء، يتسببون في ترسيخ الخوف فيهن ويسلبون منهن القدرة على اتخاذ القرار الصحيح. وبالتالي، فإن رواية ربيعة هي عرض للظلم الذي يلحق بها (الحبس في دور الزوجة، الحرمان من الأمومة، العنف النفسي) وهي متوافقة مع مرحلة الاحتجاج في نظرية شوالتر. ومع ذلك، حتى مع الوعي الكامل بالظلم المفروض عليها، فإن ربيعة غير قادرة على الهروب بسبب الخوف الذي غرسه فيها رائد (التهديد بالانتحار)</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العائق الرئيسي أمام تحرر ربيعة ليس خارجيًا فحسب، بل داخلي أيضًا؛ إنه الخوف العميق الذي تم غرسه فيها، مما يعيقها عن ترجمة وعيها الاحتجاجي إلى فعل تحرري. تجلى العنف الأبوي هنا ليس فقط في الحرمان الجسدي (منع الأمومة) ولكن بشكل أعمق في العنف النفسي عبر التهديد والتخويف.</w:t>
      </w:r>
      <w:r w:rsidRPr="00A9675D">
        <w:rPr>
          <w:rFonts w:ascii="Traditional Arabic" w:hAnsi="Traditional Arabic" w:cs="Traditional Arabic"/>
          <w:sz w:val="28"/>
          <w:szCs w:val="28"/>
        </w:rPr>
        <w:t xml:space="preserve"> </w:t>
      </w:r>
    </w:p>
    <w:p w14:paraId="13392A0C" w14:textId="77777777" w:rsidR="002E6E11" w:rsidRPr="00A9675D" w:rsidRDefault="002E6E11" w:rsidP="002E6E11">
      <w:pPr>
        <w:bidi/>
        <w:jc w:val="both"/>
        <w:rPr>
          <w:rFonts w:ascii="Traditional Arabic" w:hAnsi="Traditional Arabic" w:cs="Traditional Arabic"/>
          <w:sz w:val="28"/>
          <w:szCs w:val="28"/>
        </w:rPr>
      </w:pPr>
      <w:r w:rsidRPr="00A9675D">
        <w:rPr>
          <w:rFonts w:ascii="Traditional Arabic" w:hAnsi="Traditional Arabic" w:cs="Traditional Arabic"/>
          <w:sz w:val="28"/>
          <w:szCs w:val="28"/>
          <w:rtl/>
        </w:rPr>
        <w:t>يمثل احتجاج ربيعة على حبسها في دور الزوجة والحرمان من الأمومة إشارة واضحة إلى المرحلة النسوية</w:t>
      </w:r>
      <w:r w:rsidRPr="00A9675D">
        <w:rPr>
          <w:rFonts w:ascii="Traditional Arabic" w:hAnsi="Traditional Arabic" w:cs="Traditional Arabic"/>
          <w:sz w:val="28"/>
          <w:szCs w:val="28"/>
        </w:rPr>
        <w:t xml:space="preserve"> (Feminist Stage). </w:t>
      </w:r>
      <w:r w:rsidRPr="00A9675D">
        <w:rPr>
          <w:rFonts w:ascii="Traditional Arabic" w:hAnsi="Traditional Arabic" w:cs="Traditional Arabic"/>
          <w:sz w:val="28"/>
          <w:szCs w:val="28"/>
          <w:rtl/>
        </w:rPr>
        <w:t>يمثل الركض بالنسبة لها استعارة للحرية ومحاولة للتحرر الجسدي والنفسي، حتى لو لم تتخذ إجراءً عمليًا وخوفها من عنف رائد يمنعها من التصرف. يظهر هذا التناقض بين الوعي بالظلم والمحدودية العملية</w:t>
      </w:r>
      <w:r w:rsidRPr="00A9675D">
        <w:rPr>
          <w:rFonts w:ascii="Traditional Arabic" w:hAnsi="Traditional Arabic" w:cs="Traditional Arabic"/>
          <w:sz w:val="28"/>
          <w:szCs w:val="28"/>
        </w:rPr>
        <w:t>.</w:t>
      </w:r>
    </w:p>
    <w:p w14:paraId="130EBCF8"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كما أن رواية نوف تمثل احتجاجًا على كيفية تحكم المعايير الذكورية في جسد المرأة وقيمتها. تروي نوف المعاناة النفسية الناجمة عن هذه المشكلة وتداعياتها. جسد نوف المسطح يؤدي إلى انهيار معنوياتها وفقدان ثقتها بنفسها وعزلتها. أدت السمات الجسدية المختلفة لنوف إلى عدم رغبة الرجال في الزواج بها، وفي بعض المواقف مثل طقوس الخطوبة، يجعلونها تدرك خصائصها البيولوجية المختلفة ويذلونها بشكل ما</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w:t>
      </w:r>
      <w:r w:rsidRPr="00A9675D">
        <w:rPr>
          <w:rFonts w:ascii="Traditional Arabic" w:hAnsi="Traditional Arabic" w:cs="Traditional Arabic"/>
          <w:sz w:val="28"/>
          <w:szCs w:val="28"/>
        </w:rPr>
        <w:t xml:space="preserve"> </w:t>
      </w:r>
      <w:r w:rsidRPr="00A9675D">
        <w:rPr>
          <w:rFonts w:ascii="Traditional Arabic" w:hAnsi="Traditional Arabic" w:cs="Traditional Arabic"/>
          <w:sz w:val="28"/>
          <w:szCs w:val="28"/>
          <w:rtl/>
        </w:rPr>
        <w:t xml:space="preserve">لا أريد أن أعيش مع امرأة بلا تضاريس" </w:t>
      </w:r>
      <w:r w:rsidRPr="00E13099">
        <w:rPr>
          <w:rFonts w:ascii="Traditional Arabic" w:hAnsi="Traditional Arabic" w:cs="Traditional Arabic"/>
          <w:sz w:val="28"/>
          <w:szCs w:val="28"/>
          <w:highlight w:val="yellow"/>
          <w:rtl/>
        </w:rPr>
        <w:t>(المصدر نفس</w:t>
      </w:r>
      <w:r w:rsidRPr="00E13099">
        <w:rPr>
          <w:rFonts w:ascii="Traditional Arabic" w:hAnsi="Traditional Arabic" w:cs="Traditional Arabic" w:hint="cs"/>
          <w:sz w:val="28"/>
          <w:szCs w:val="28"/>
          <w:highlight w:val="yellow"/>
          <w:rtl/>
        </w:rPr>
        <w:t>ه</w:t>
      </w:r>
      <w:r w:rsidRPr="00E13099">
        <w:rPr>
          <w:rFonts w:ascii="Traditional Arabic" w:hAnsi="Traditional Arabic" w:cs="Traditional Arabic"/>
          <w:sz w:val="28"/>
          <w:szCs w:val="28"/>
          <w:highlight w:val="yellow"/>
          <w:rtl/>
        </w:rPr>
        <w:t>: 69).</w:t>
      </w:r>
      <w:r w:rsidRPr="00A9675D">
        <w:rPr>
          <w:rFonts w:ascii="Traditional Arabic" w:hAnsi="Traditional Arabic" w:cs="Traditional Arabic"/>
          <w:sz w:val="28"/>
          <w:szCs w:val="28"/>
          <w:rtl/>
        </w:rPr>
        <w:t xml:space="preserve"> استخدام كلمة "تضاريس" من قبل خاطب نوف يشير مباشرة إلى جسد نوف المختلف وبنيتها الفيزيائية. في الواقع، رواية نوف هي احتجاج على كيفية تحكم المعايير الذكورية في جسد المرأة وقيمتها. احتجاجها موجه ضد نظام أبوي يحدد قيمة المرأة من خلال مظهرها وشكل جسدها الخارجي. أدى اختلاف جسد نوف عن باقي النساء إلى تذكيرها بهذه الحقيقة من قبل جميع خطابها من خلال سلوكهم وكلامهم</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"الأول والثاني لم يخبراني عن أسباب فسخ الخطبة، ولي أن أتخيل أي سبب في العالم، لكن الثالث قالها لي دون أن يخجل" (المصدر نفسه). من خلال عبارة "قالها لي دون أن يخجل"، أرادت الكاتبة أن تظهر أن الإشارة المباشرة والكلامية إلى هذه السمة البيولوجية لنوف دمرت ثقتها بنفسها وجعلتها تستصغر نفسها وتبحث عن حل لهذه المشكلة</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"أنا الآن أواظب على الرياضة وعلى الفيتامينات، لكنهما لا يكبران" (المصدر نفسه). "الرياضة والفيتامينات" تشير إلى حلها لهذه المشكلة. في الواقع، تريد الكاتبة أن تقول إن الخصائص البيولوجية والجسدية المختلفة للنساء، دون أن يكون لهن تأثير أو دور فيها، هي عامل يؤدي إلى إصابة نفسيتهن أيضًا. بالإضافة إلى ذلك، تنتقد الكاتبة ضمناً فرض معايير جسدية </w:t>
      </w:r>
      <w:r w:rsidRPr="00A9675D">
        <w:rPr>
          <w:rFonts w:ascii="Traditional Arabic" w:hAnsi="Traditional Arabic" w:cs="Traditional Arabic"/>
          <w:sz w:val="28"/>
          <w:szCs w:val="28"/>
          <w:rtl/>
        </w:rPr>
        <w:lastRenderedPageBreak/>
        <w:t xml:space="preserve">معينة على النساء من قبل المجتمع. فرض معايير محددة وموحدة على النساء يؤدي إلى </w:t>
      </w:r>
      <w:r w:rsidRPr="00E13099">
        <w:rPr>
          <w:rFonts w:ascii="Traditional Arabic" w:hAnsi="Traditional Arabic" w:cs="Traditional Arabic"/>
          <w:sz w:val="28"/>
          <w:szCs w:val="28"/>
          <w:highlight w:val="yellow"/>
          <w:rtl/>
        </w:rPr>
        <w:t>تدمير</w:t>
      </w:r>
      <w:r w:rsidRPr="00E13099">
        <w:rPr>
          <w:highlight w:val="yellow"/>
          <w:rtl/>
        </w:rPr>
        <w:t xml:space="preserve"> </w:t>
      </w:r>
      <w:r w:rsidRPr="00E13099">
        <w:rPr>
          <w:rFonts w:ascii="Traditional Arabic" w:hAnsi="Traditional Arabic" w:cs="Traditional Arabic"/>
          <w:sz w:val="28"/>
          <w:szCs w:val="28"/>
          <w:highlight w:val="yellow"/>
          <w:rtl/>
        </w:rPr>
        <w:t>ثقتهن</w:t>
      </w:r>
      <w:r w:rsidRPr="00E13099">
        <w:rPr>
          <w:rFonts w:ascii="Traditional Arabic" w:hAnsi="Traditional Arabic" w:cs="Traditional Arabic"/>
          <w:sz w:val="28"/>
          <w:szCs w:val="28"/>
          <w:rtl/>
        </w:rPr>
        <w:t xml:space="preserve"> </w:t>
      </w:r>
      <w:r w:rsidRPr="00E13099">
        <w:rPr>
          <w:rFonts w:ascii="Traditional Arabic" w:hAnsi="Traditional Arabic" w:cs="Traditional Arabic"/>
          <w:sz w:val="28"/>
          <w:szCs w:val="28"/>
          <w:highlight w:val="yellow"/>
          <w:rtl/>
        </w:rPr>
        <w:t>بأنفسه</w:t>
      </w:r>
      <w:r w:rsidRPr="00E13099">
        <w:rPr>
          <w:rFonts w:ascii="Traditional Arabic" w:hAnsi="Traditional Arabic" w:cs="Traditional Arabic" w:hint="cs"/>
          <w:sz w:val="28"/>
          <w:szCs w:val="28"/>
          <w:highlight w:val="yellow"/>
          <w:rtl/>
        </w:rPr>
        <w:t>ن</w:t>
      </w:r>
      <w:r w:rsidRPr="00E13099">
        <w:rPr>
          <w:rFonts w:ascii="Traditional Arabic" w:hAnsi="Traditional Arabic" w:cs="Traditional Arabic"/>
          <w:sz w:val="28"/>
          <w:szCs w:val="28"/>
          <w:highlight w:val="yellow"/>
          <w:rtl/>
        </w:rPr>
        <w:t xml:space="preserve"> لأداء أدواره</w:t>
      </w:r>
      <w:r w:rsidRPr="00E13099">
        <w:rPr>
          <w:rFonts w:ascii="Traditional Arabic" w:hAnsi="Traditional Arabic" w:cs="Traditional Arabic" w:hint="cs"/>
          <w:sz w:val="28"/>
          <w:szCs w:val="28"/>
          <w:highlight w:val="yellow"/>
          <w:rtl/>
        </w:rPr>
        <w:t>ن</w:t>
      </w:r>
      <w:r w:rsidRPr="00A9675D">
        <w:rPr>
          <w:rFonts w:ascii="Traditional Arabic" w:hAnsi="Traditional Arabic" w:cs="Traditional Arabic"/>
          <w:sz w:val="28"/>
          <w:szCs w:val="28"/>
          <w:rtl/>
        </w:rPr>
        <w:t xml:space="preserve"> في المجتمع. هذا هو بالضبط ما دفع نوف إلى تناول الفيتامينات لإرضاء الرجال والقضاء على الشعور السيء الناجم عن عدم وجود انحناءات في جسدها</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يمثل احتجاج نوف على التحكم في قيمة المرأة من خلال جسدها معارضة للمعايير الأبوية. تحاول من خلال الرياضة وتناول الفيتامينات التغلب على هذه الضغوط، مما يدل على أن احتجاجها هو نفسي وعملي، لكنها لا تزال تعاني من القيود الاجتماعية</w:t>
      </w:r>
      <w:r w:rsidRPr="00A9675D">
        <w:rPr>
          <w:rFonts w:ascii="Traditional Arabic" w:hAnsi="Traditional Arabic" w:cs="Traditional Arabic"/>
          <w:sz w:val="28"/>
          <w:szCs w:val="28"/>
        </w:rPr>
        <w:t>.</w:t>
      </w:r>
    </w:p>
    <w:p w14:paraId="377428D2"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بشكل عام، تركز هذه المرحلة على "الوعي والاحتجاج"، على الرغم من أنه لم يأخذ بعد شكلاً جماعيًا واكتفاءً ذاتيًا</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تكافح الكاتبة بطريقة ما النظرة التمييزية تجاه النساء، وهي النظرة التي تؤدي إلى شعورهن بعدم الكفاية وعدم القبول من قبل الرجال. تريد الكاتبة تعميم فكرة أن النساء، بصرف النظر عن أي خصائص بيولوجية أو اختلافات جسدية، كأعضاء في المجتمع يتمتعن بحقوق متساوية، وأن معاملة الرجال لهن وحياتهن يجب ألا تكون تمييزية.</w:t>
      </w:r>
    </w:p>
    <w:p w14:paraId="7E4ED900" w14:textId="77777777" w:rsidR="002E6E11" w:rsidRPr="00A9675D" w:rsidRDefault="002E6E11" w:rsidP="002E6E11">
      <w:pPr>
        <w:bidi/>
        <w:jc w:val="both"/>
        <w:rPr>
          <w:rFonts w:ascii="Traditional Arabic" w:hAnsi="Traditional Arabic" w:cs="Traditional Arabic"/>
          <w:b/>
          <w:bCs/>
          <w:sz w:val="28"/>
          <w:szCs w:val="28"/>
          <w:rtl/>
        </w:rPr>
      </w:pPr>
      <w:r w:rsidRPr="00E13099">
        <w:rPr>
          <w:rFonts w:ascii="Traditional Arabic" w:hAnsi="Traditional Arabic" w:cs="Traditional Arabic" w:hint="cs"/>
          <w:b/>
          <w:bCs/>
          <w:sz w:val="28"/>
          <w:szCs w:val="28"/>
          <w:highlight w:val="yellow"/>
          <w:rtl/>
        </w:rPr>
        <w:t>3</w:t>
      </w:r>
      <w:r w:rsidRPr="00E13099">
        <w:rPr>
          <w:rFonts w:ascii="Traditional Arabic" w:hAnsi="Traditional Arabic" w:cs="Traditional Arabic"/>
          <w:b/>
          <w:bCs/>
          <w:sz w:val="28"/>
          <w:szCs w:val="28"/>
          <w:highlight w:val="yellow"/>
          <w:rtl/>
        </w:rPr>
        <w:t>-1-</w:t>
      </w:r>
      <w:r w:rsidRPr="005850C6">
        <w:rPr>
          <w:rFonts w:ascii="Traditional Arabic" w:hAnsi="Traditional Arabic" w:cs="Traditional Arabic"/>
          <w:b/>
          <w:bCs/>
          <w:sz w:val="28"/>
          <w:szCs w:val="28"/>
          <w:highlight w:val="yellow"/>
          <w:rtl/>
        </w:rPr>
        <w:t>3</w:t>
      </w:r>
      <w:r w:rsidRPr="005850C6">
        <w:rPr>
          <w:rFonts w:ascii="Traditional Arabic" w:hAnsi="Traditional Arabic" w:cs="Traditional Arabic"/>
          <w:b/>
          <w:bCs/>
          <w:sz w:val="28"/>
          <w:szCs w:val="28"/>
          <w:highlight w:val="yellow"/>
        </w:rPr>
        <w:t xml:space="preserve">. </w:t>
      </w:r>
      <w:r w:rsidRPr="005850C6">
        <w:rPr>
          <w:rFonts w:ascii="Traditional Arabic" w:hAnsi="Traditional Arabic" w:cs="Traditional Arabic"/>
          <w:b/>
          <w:bCs/>
          <w:sz w:val="28"/>
          <w:szCs w:val="28"/>
          <w:highlight w:val="yellow"/>
          <w:rtl/>
        </w:rPr>
        <w:t>المرحلة الأنثى-المحور</w:t>
      </w:r>
      <w:r>
        <w:rPr>
          <w:rStyle w:val="FootnoteReference"/>
          <w:rFonts w:ascii="Traditional Arabic" w:hAnsi="Traditional Arabic" w:cs="Traditional Arabic"/>
          <w:b/>
          <w:bCs/>
          <w:sz w:val="28"/>
          <w:szCs w:val="28"/>
          <w:highlight w:val="yellow"/>
          <w:rtl/>
        </w:rPr>
        <w:footnoteReference w:id="6"/>
      </w:r>
      <w:r w:rsidRPr="005850C6">
        <w:rPr>
          <w:rFonts w:ascii="Traditional Arabic" w:hAnsi="Traditional Arabic" w:cs="Traditional Arabic"/>
          <w:b/>
          <w:bCs/>
          <w:sz w:val="28"/>
          <w:szCs w:val="28"/>
          <w:rtl/>
        </w:rPr>
        <w:t xml:space="preserve"> </w:t>
      </w:r>
    </w:p>
    <w:p w14:paraId="31E7D79A" w14:textId="77777777" w:rsidR="002E6E11" w:rsidRPr="00A9675D" w:rsidRDefault="002E6E11" w:rsidP="002E6E11">
      <w:pPr>
        <w:bidi/>
        <w:jc w:val="both"/>
        <w:rPr>
          <w:rFonts w:ascii="Traditional Arabic" w:hAnsi="Traditional Arabic" w:cs="Traditional Arabic"/>
          <w:sz w:val="28"/>
          <w:szCs w:val="28"/>
        </w:rPr>
      </w:pPr>
      <w:r w:rsidRPr="00A9675D">
        <w:rPr>
          <w:rFonts w:ascii="Traditional Arabic" w:hAnsi="Traditional Arabic" w:cs="Traditional Arabic"/>
          <w:sz w:val="28"/>
          <w:szCs w:val="28"/>
          <w:rtl/>
        </w:rPr>
        <w:t xml:space="preserve">في هذه المرحلة، لا تريد النساء أن يكن مثل الرجال (المرحلة الأولى) ولا أن يكن غاضبات منهم فقط (المرحلة الثانية)، بل يبحثن عن هويتهن ولغتهن وفضائهن الخاص. </w:t>
      </w:r>
      <w:r w:rsidRPr="00F0308F">
        <w:rPr>
          <w:rFonts w:ascii="Traditional Arabic" w:hAnsi="Traditional Arabic" w:cs="Traditional Arabic"/>
          <w:sz w:val="28"/>
          <w:szCs w:val="28"/>
          <w:rtl/>
        </w:rPr>
        <w:t>توضح شوالتر في كتابها "أدب خاص بهن" (1977) أن النساء في المرحلة الأنثوية ينخرطن في "اكتشاف الذات" ويبحثن عن هوية فنية مستقلة وتجربة معيشة خاصة بهن. يمكن القول إن هذه المرحلة هي مرحلة اكتشاف الذات، حيث تتخلى النساء عن كل من التقليد والاحتجاج (شكلان من أشكال التبعية) وتتجهن نحو تجاربهن الأنثوية. في هذه المرحلة، ترتبط شوالتر بتنوع واسع من التجارب الأنثوية (</w:t>
      </w:r>
      <w:r w:rsidRPr="00F0308F">
        <w:rPr>
          <w:rFonts w:ascii="Traditional Arabic" w:hAnsi="Traditional Arabic" w:cs="Traditional Arabic"/>
          <w:sz w:val="28"/>
          <w:szCs w:val="28"/>
        </w:rPr>
        <w:t>Showalter, 1978: 14</w:t>
      </w:r>
      <w:r w:rsidRPr="00F0308F">
        <w:rPr>
          <w:rFonts w:ascii="Traditional Arabic" w:hAnsi="Traditional Arabic" w:cs="Traditional Arabic"/>
          <w:sz w:val="28"/>
          <w:szCs w:val="28"/>
          <w:rtl/>
        </w:rPr>
        <w:t>)</w:t>
      </w:r>
      <w:r>
        <w:rPr>
          <w:rFonts w:ascii="Traditional Arabic" w:hAnsi="Traditional Arabic" w:cs="Traditional Arabic" w:hint="cs"/>
          <w:sz w:val="28"/>
          <w:szCs w:val="28"/>
          <w:rtl/>
        </w:rPr>
        <w:t>.</w:t>
      </w:r>
    </w:p>
    <w:p w14:paraId="2646F980" w14:textId="77777777" w:rsidR="002E6E11" w:rsidRPr="00A9675D" w:rsidRDefault="002E6E11" w:rsidP="002E6E11">
      <w:pPr>
        <w:bidi/>
        <w:jc w:val="both"/>
        <w:rPr>
          <w:rFonts w:ascii="Traditional Arabic" w:hAnsi="Traditional Arabic" w:cs="Traditional Arabic"/>
          <w:sz w:val="28"/>
          <w:szCs w:val="28"/>
          <w:rtl/>
        </w:rPr>
      </w:pPr>
      <w:r w:rsidRPr="005036A4">
        <w:rPr>
          <w:rFonts w:ascii="Traditional Arabic" w:hAnsi="Traditional Arabic" w:cs="Traditional Arabic"/>
          <w:sz w:val="28"/>
          <w:szCs w:val="28"/>
          <w:highlight w:val="yellow"/>
          <w:rtl/>
        </w:rPr>
        <w:t>بإمکاننا أن نذکر</w:t>
      </w:r>
      <w:r w:rsidRPr="005036A4">
        <w:rPr>
          <w:rFonts w:ascii="Traditional Arabic" w:hAnsi="Traditional Arabic" w:cs="Traditional Arabic"/>
          <w:sz w:val="28"/>
          <w:szCs w:val="28"/>
          <w:rtl/>
        </w:rPr>
        <w:t xml:space="preserve"> </w:t>
      </w:r>
      <w:r w:rsidRPr="00A9675D">
        <w:rPr>
          <w:rFonts w:ascii="Traditional Arabic" w:hAnsi="Traditional Arabic" w:cs="Traditional Arabic"/>
          <w:sz w:val="28"/>
          <w:szCs w:val="28"/>
          <w:rtl/>
        </w:rPr>
        <w:t xml:space="preserve">إن المسار العام لرواية هدى حمد وبداية ونهاية هذه الرواية هي رمزية لمرحلة الهوية الفردية الأنثوية في نظرية إيلين شوالتر. المطعم الذي تذهب إليه النساء لسرد قصصهن يتحول إلى ملاذ مؤقت وفضاء نسائي بحت حيث يتم تعليق قواعد العالم الخارجي (الأبوي). "تَهْرُبُ السِّندريلات من قفص البيت والأولاد والأزواج المتطلبين، يخرجن غير مباليات بأحد... في مثل هذه الليلة، سيتوقف الأزواج عن انتظارهم، وسيتوقف الأبناء الصغار عن البكاء" (حمد، </w:t>
      </w:r>
      <w:r w:rsidRPr="00A9675D">
        <w:rPr>
          <w:rFonts w:ascii="Traditional Arabic" w:hAnsi="Traditional Arabic" w:cs="Traditional Arabic"/>
          <w:sz w:val="28"/>
          <w:szCs w:val="28"/>
          <w:rtl/>
          <w:lang w:bidi="fa-IR"/>
        </w:rPr>
        <w:t xml:space="preserve">۲۰۱۶: </w:t>
      </w:r>
      <w:r w:rsidRPr="00A9675D">
        <w:rPr>
          <w:rFonts w:ascii="Traditional Arabic" w:hAnsi="Traditional Arabic" w:cs="Traditional Arabic"/>
          <w:sz w:val="28"/>
          <w:szCs w:val="28"/>
          <w:rtl/>
        </w:rPr>
        <w:t>9</w:t>
      </w:r>
      <w:r w:rsidRPr="00F72A1E">
        <w:rPr>
          <w:rFonts w:ascii="Traditional Arabic" w:hAnsi="Traditional Arabic" w:cs="Traditional Arabic"/>
          <w:sz w:val="28"/>
          <w:szCs w:val="28"/>
          <w:highlight w:val="yellow"/>
          <w:rtl/>
        </w:rPr>
        <w:t xml:space="preserve">). تشير </w:t>
      </w:r>
      <w:r w:rsidRPr="00F72A1E">
        <w:rPr>
          <w:rFonts w:ascii="Traditional Arabic" w:hAnsi="Traditional Arabic" w:cs="Traditional Arabic" w:hint="cs"/>
          <w:sz w:val="28"/>
          <w:szCs w:val="28"/>
          <w:highlight w:val="yellow"/>
          <w:rtl/>
          <w:lang w:bidi="fa-IR"/>
        </w:rPr>
        <w:t xml:space="preserve">هذه الجملة </w:t>
      </w:r>
      <w:r w:rsidRPr="00F72A1E">
        <w:rPr>
          <w:rFonts w:ascii="Traditional Arabic" w:hAnsi="Traditional Arabic" w:cs="Traditional Arabic"/>
          <w:sz w:val="28"/>
          <w:szCs w:val="28"/>
          <w:highlight w:val="yellow"/>
          <w:rtl/>
        </w:rPr>
        <w:t>إلى انقطاع مؤقت عن الأدوار التقليدية</w:t>
      </w:r>
      <w:r w:rsidRPr="00F72A1E">
        <w:rPr>
          <w:rFonts w:ascii="Traditional Arabic" w:hAnsi="Traditional Arabic" w:cs="Traditional Arabic" w:hint="cs"/>
          <w:sz w:val="28"/>
          <w:szCs w:val="28"/>
          <w:highlight w:val="yellow"/>
          <w:rtl/>
        </w:rPr>
        <w:t>.</w:t>
      </w:r>
      <w:r w:rsidRPr="00F72A1E">
        <w:rPr>
          <w:rFonts w:ascii="Traditional Arabic" w:hAnsi="Traditional Arabic" w:cs="Traditional Arabic"/>
          <w:sz w:val="28"/>
          <w:szCs w:val="28"/>
          <w:highlight w:val="yellow"/>
          <w:rtl/>
        </w:rPr>
        <w:t xml:space="preserve"> تشير "الأزواج المتطلبين" إلى الطبيعة غير المتكافئة للعلاقة بين نساء هذه الرواية والرجال</w:t>
      </w:r>
      <w:r w:rsidRPr="00A9675D">
        <w:rPr>
          <w:rFonts w:ascii="Traditional Arabic" w:hAnsi="Traditional Arabic" w:cs="Traditional Arabic"/>
          <w:sz w:val="28"/>
          <w:szCs w:val="28"/>
          <w:rtl/>
        </w:rPr>
        <w:t xml:space="preserve">. في هذا السياق، حركة النساء الثماني من منازلهن إلى المطعم لسرد قصصهن هي حركة احتجاجية رمزية ذات مغزى لاكتساب هوية أنثوية وفردية. في هذه الليلة الخاصة، تفصل النساء أنفسهن عن الأدوار المفروضة للزوجة "المطيعة" والأم "المضحية"، ويبتعدن لساعات عن قيود المنزل والأزواج والأطفال، ويذهبن إلى فضاء ينتمي إليهن بالكامل. يمكن القول إن في الطبقات التحتية لهذا الموضوع إشارة إلى الاحتجاج ضد التقسيم غير المتكافئ للسلطة في الأسرة والمجتمع من أجل اكتساب هوية فردية واجتماعية من أجل التعبير عن روايتهن. في هذه اللحظة، تصبح النساء لأول مرة مالكات لوقتهن وأجسادهن؛ وقتهم لا ينتمي إلى الآخرين وأجسادهم لا تُعرَّف بخدمة الزوج أو </w:t>
      </w:r>
      <w:r w:rsidRPr="005036A4">
        <w:rPr>
          <w:rFonts w:ascii="Traditional Arabic" w:hAnsi="Traditional Arabic" w:cs="Traditional Arabic"/>
          <w:sz w:val="28"/>
          <w:szCs w:val="28"/>
          <w:highlight w:val="yellow"/>
          <w:rtl/>
        </w:rPr>
        <w:t>الطفل</w:t>
      </w:r>
      <w:r w:rsidRPr="005036A4">
        <w:rPr>
          <w:rFonts w:ascii="Traditional Arabic" w:hAnsi="Traditional Arabic" w:cs="Traditional Arabic" w:hint="cs"/>
          <w:sz w:val="28"/>
          <w:szCs w:val="28"/>
          <w:highlight w:val="yellow"/>
          <w:rtl/>
        </w:rPr>
        <w:t xml:space="preserve"> </w:t>
      </w:r>
      <w:r w:rsidRPr="005036A4">
        <w:rPr>
          <w:rFonts w:ascii="Traditional Arabic" w:hAnsi="Traditional Arabic" w:cs="Traditional Arabic"/>
          <w:sz w:val="28"/>
          <w:szCs w:val="28"/>
          <w:highlight w:val="yellow"/>
          <w:rtl/>
        </w:rPr>
        <w:t>بل</w:t>
      </w:r>
      <w:r w:rsidRPr="00A9675D">
        <w:rPr>
          <w:rFonts w:ascii="Traditional Arabic" w:hAnsi="Traditional Arabic" w:cs="Traditional Arabic"/>
          <w:sz w:val="28"/>
          <w:szCs w:val="28"/>
          <w:rtl/>
        </w:rPr>
        <w:t xml:space="preserve"> تنتمي إليهن وحدهن. </w:t>
      </w:r>
      <w:r w:rsidRPr="00A9675D">
        <w:rPr>
          <w:rFonts w:ascii="Traditional Arabic" w:hAnsi="Traditional Arabic" w:cs="Traditional Arabic"/>
          <w:sz w:val="28"/>
          <w:szCs w:val="28"/>
          <w:rtl/>
        </w:rPr>
        <w:lastRenderedPageBreak/>
        <w:t>هذا الفعل يظهر أن الشخصيات النسائية قد دخلت المرحلة النسوية</w:t>
      </w:r>
      <w:r w:rsidRPr="00A9675D">
        <w:rPr>
          <w:rFonts w:ascii="Traditional Arabic" w:hAnsi="Traditional Arabic" w:cs="Traditional Arabic"/>
          <w:sz w:val="28"/>
          <w:szCs w:val="28"/>
        </w:rPr>
        <w:t xml:space="preserve"> (Feminist Stage) </w:t>
      </w:r>
      <w:r w:rsidRPr="00A9675D">
        <w:rPr>
          <w:rFonts w:ascii="Traditional Arabic" w:hAnsi="Traditional Arabic" w:cs="Traditional Arabic"/>
          <w:sz w:val="28"/>
          <w:szCs w:val="28"/>
          <w:rtl/>
        </w:rPr>
        <w:t>لاكتساب الهوية. هذا الموضوع هو احتجاج على الوضع الراهن، وإن كان بشكل رمزي، ومن أجل خلق فضاء موازٍ ومستقل لتجربة الحرية الأنثوية، ويصبح المطعم رمزًا للتحرر المؤقت وتشكيل الوعي الجماعي للنساء، حيث يجربن لأول مرة التضامن الأنثوي والحرية الشخصية. هذه الحركة تكشف في الواقع عن جوهر مرحلة الهوية الفردية. من خلال هذه الحركة الجماعية، تظهر النساء أن المنزل والأدوار المفروضة ليسا الإطار الوحيد الممكن لهويتهن. هذه هي بالضبط النقطة التي لم تعد فيها المرأة مجرد "الآخر" بالنسبة للزوج والطفل، ولكنها تُعترف بها كفرد مستقل، لها رغباتها واحتياجاتها الخاصة.</w:t>
      </w:r>
    </w:p>
    <w:p w14:paraId="0BDE7314"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لَنْ يَحْدُثَ اللَّيْلَةَ شَيْءٌ خَارِجَ مَا يُفَكِّرْنَ بِهِ" (حمد، </w:t>
      </w:r>
      <w:r w:rsidRPr="00A9675D">
        <w:rPr>
          <w:rFonts w:ascii="Traditional Arabic" w:hAnsi="Traditional Arabic" w:cs="Traditional Arabic"/>
          <w:sz w:val="28"/>
          <w:szCs w:val="28"/>
          <w:rtl/>
          <w:lang w:bidi="fa-IR"/>
        </w:rPr>
        <w:t>۲۰۱</w:t>
      </w:r>
      <w:r w:rsidRPr="00A9675D">
        <w:rPr>
          <w:rFonts w:ascii="Traditional Arabic" w:hAnsi="Traditional Arabic" w:cs="Traditional Arabic"/>
          <w:sz w:val="28"/>
          <w:szCs w:val="28"/>
          <w:rtl/>
        </w:rPr>
        <w:t xml:space="preserve">٦: </w:t>
      </w:r>
      <w:r w:rsidRPr="00A9675D">
        <w:rPr>
          <w:rFonts w:ascii="Traditional Arabic" w:hAnsi="Traditional Arabic" w:cs="Traditional Arabic"/>
          <w:sz w:val="28"/>
          <w:szCs w:val="28"/>
          <w:rtl/>
          <w:lang w:bidi="fa-IR"/>
        </w:rPr>
        <w:t>۱۷)</w:t>
      </w:r>
      <w:r w:rsidRPr="00A9675D">
        <w:rPr>
          <w:rFonts w:ascii="Traditional Arabic" w:hAnsi="Traditional Arabic" w:cs="Traditional Arabic"/>
          <w:sz w:val="28"/>
          <w:szCs w:val="28"/>
          <w:lang w:bidi="fa-IR"/>
        </w:rPr>
        <w:t>.</w:t>
      </w:r>
      <w:r w:rsidRPr="00A9675D">
        <w:rPr>
          <w:rFonts w:ascii="Traditional Arabic" w:hAnsi="Traditional Arabic" w:cs="Traditional Arabic"/>
          <w:sz w:val="28"/>
          <w:szCs w:val="28"/>
          <w:rtl/>
        </w:rPr>
        <w:t xml:space="preserve"> تعبر هذه الجملة بقوة عن التمركز والسلطة التي تمتلكها رغبات وإرادات النساء في هذه اللحظة. لأول مرة، هنّ يكتبن مصيرهن في تلك الليلة. في رواية حمد، ووصف الفعل الجماعي لحركة النساء نحو المطعم، وعلى عكس الصور النمطية التي تُصوّر النساء في منافسة مع بعضهن البعض، يسود الاتحاد والدعم المتبادل. في هذا الفضاء، النساء فقط هن جمهور بعضهن البعض، ويدعمن بعضهن بصمت. هذا الدعم هو أيضًا أساس بناء هوية جماعية مستقلة</w:t>
      </w:r>
      <w:r w:rsidRPr="00A9675D">
        <w:rPr>
          <w:rFonts w:ascii="Traditional Arabic" w:hAnsi="Traditional Arabic" w:cs="Traditional Arabic"/>
          <w:sz w:val="28"/>
          <w:szCs w:val="28"/>
        </w:rPr>
        <w:t>.</w:t>
      </w:r>
    </w:p>
    <w:p w14:paraId="6FF175FE"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يتخطى المطعم في هذه الرواية كونه مجرد مكان فيزيائي، ليصبح "فضاء عمومي مضاد</w:t>
      </w:r>
      <w:r w:rsidRPr="00A9675D">
        <w:rPr>
          <w:rFonts w:ascii="Traditional Arabic" w:hAnsi="Traditional Arabic" w:cs="Traditional Arabic"/>
          <w:sz w:val="28"/>
          <w:szCs w:val="28"/>
        </w:rPr>
        <w:t>" (</w:t>
      </w:r>
      <w:proofErr w:type="spellStart"/>
      <w:r w:rsidRPr="00A9675D">
        <w:rPr>
          <w:rFonts w:ascii="Traditional Arabic" w:hAnsi="Traditional Arabic" w:cs="Traditional Arabic"/>
          <w:sz w:val="28"/>
          <w:szCs w:val="28"/>
        </w:rPr>
        <w:t>Felski</w:t>
      </w:r>
      <w:proofErr w:type="spellEnd"/>
      <w:r w:rsidRPr="00A9675D">
        <w:rPr>
          <w:rFonts w:ascii="Traditional Arabic" w:hAnsi="Traditional Arabic" w:cs="Traditional Arabic"/>
          <w:sz w:val="28"/>
          <w:szCs w:val="28"/>
        </w:rPr>
        <w:t>, 1989)</w:t>
      </w:r>
      <w:r w:rsidRPr="00A9675D">
        <w:rPr>
          <w:rFonts w:ascii="Traditional Arabic" w:hAnsi="Traditional Arabic" w:cs="Traditional Arabic"/>
          <w:sz w:val="28"/>
          <w:szCs w:val="28"/>
          <w:rtl/>
        </w:rPr>
        <w:t>، يقف في مواجهة الفضاء العمومي الأبوي ويمنح النساء إمكانية تشكيل خطاب وهوية مستقلتين</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إيريغاراي، المنظرة النسوية الشهيرة، تشبّه التجمعات النسائية بـ "الرمزية الأنثوية</w:t>
      </w:r>
      <w:r w:rsidRPr="00A9675D">
        <w:rPr>
          <w:rFonts w:ascii="Traditional Arabic" w:hAnsi="Traditional Arabic" w:cs="Traditional Arabic"/>
          <w:sz w:val="28"/>
          <w:szCs w:val="28"/>
        </w:rPr>
        <w:t>" (</w:t>
      </w:r>
      <w:proofErr w:type="spellStart"/>
      <w:r w:rsidRPr="00A9675D">
        <w:rPr>
          <w:rFonts w:ascii="Traditional Arabic" w:hAnsi="Traditional Arabic" w:cs="Traditional Arabic"/>
          <w:sz w:val="28"/>
          <w:szCs w:val="28"/>
        </w:rPr>
        <w:t>Irigaray</w:t>
      </w:r>
      <w:proofErr w:type="spellEnd"/>
      <w:r w:rsidRPr="00A9675D">
        <w:rPr>
          <w:rFonts w:ascii="Traditional Arabic" w:hAnsi="Traditional Arabic" w:cs="Traditional Arabic"/>
          <w:sz w:val="28"/>
          <w:szCs w:val="28"/>
        </w:rPr>
        <w:t>, 1985).</w:t>
      </w:r>
      <w:r w:rsidRPr="00A9675D">
        <w:rPr>
          <w:rFonts w:ascii="Traditional Arabic" w:hAnsi="Traditional Arabic" w:cs="Traditional Arabic"/>
          <w:sz w:val="28"/>
          <w:szCs w:val="28"/>
          <w:rtl/>
        </w:rPr>
        <w:t>في النظرية التحليلية النفسية، يتم تعريف الرمزية بشكل أساسي من قبل الرجال</w:t>
      </w:r>
      <w:r>
        <w:rPr>
          <w:rFonts w:ascii="Traditional Arabic" w:hAnsi="Traditional Arabic" w:cs="Traditional Arabic" w:hint="cs"/>
          <w:sz w:val="28"/>
          <w:szCs w:val="28"/>
          <w:rtl/>
        </w:rPr>
        <w:t xml:space="preserve">. </w:t>
      </w:r>
      <w:r w:rsidRPr="00A9675D">
        <w:rPr>
          <w:rFonts w:ascii="Traditional Arabic" w:hAnsi="Traditional Arabic" w:cs="Traditional Arabic"/>
          <w:sz w:val="28"/>
          <w:szCs w:val="28"/>
          <w:rtl/>
        </w:rPr>
        <w:t>في هذه الرواية، من خلال مشاركة قصصهن الشخصية التي تدور حول التجارب المعيشة للنساء (الجسد، الرغبة، العنف)، تؤسسن النساء لنظام رمزي بديل. فعل "الرواية" نفسه هو فعل مقاومة؛ من خلال التحدث عما يجب إخفاؤه (عدم الرضا الجنسي، الإذلال، الرغبات المكبوتة)، يكسرن الصمت المفروض على النساء. لذلك، ليس المطعم مجرد ملاذ فيزيائي آمن، بل هو فضاء خطابي آمن حيث يمكن للغة أنثوية، خالية من قيود الخطاب الأبوي، أن تظهر وتُسمَع.</w:t>
      </w:r>
    </w:p>
    <w:p w14:paraId="1D48862A"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بناءً على ما سبق، تمثل المرحلة الثالثة من نظرية شوالتر</w:t>
      </w:r>
      <w:r w:rsidRPr="00A9675D">
        <w:rPr>
          <w:rFonts w:ascii="Traditional Arabic" w:hAnsi="Traditional Arabic" w:cs="Traditional Arabic"/>
          <w:sz w:val="28"/>
          <w:szCs w:val="28"/>
        </w:rPr>
        <w:t xml:space="preserve"> </w:t>
      </w:r>
      <w:r w:rsidRPr="00A9675D">
        <w:rPr>
          <w:rFonts w:ascii="Traditional Arabic" w:hAnsi="Traditional Arabic" w:cs="Traditional Arabic"/>
          <w:sz w:val="28"/>
          <w:szCs w:val="28"/>
          <w:rtl/>
        </w:rPr>
        <w:t>مرحلة الأنثى</w:t>
      </w:r>
      <w:r w:rsidRPr="00A9675D">
        <w:rPr>
          <w:rFonts w:ascii="Traditional Arabic" w:hAnsi="Traditional Arabic" w:cs="Traditional Arabic"/>
          <w:sz w:val="28"/>
          <w:szCs w:val="28"/>
        </w:rPr>
        <w:t xml:space="preserve">  Female </w:t>
      </w:r>
      <w:r w:rsidRPr="00A9675D">
        <w:rPr>
          <w:rFonts w:ascii="Traditional Arabic" w:hAnsi="Traditional Arabic" w:cs="Traditional Arabic"/>
          <w:sz w:val="28"/>
          <w:szCs w:val="28"/>
          <w:rtl/>
        </w:rPr>
        <w:t>أكثر أشكال الوعي تقدمًا التي تصورها رواية "سندريلات مسقط". ففي هذه المرحلة لم يعد هناك وجود لـ "أنا" فردية ومنعزلة، بل تشكلت "نحن" قوية، تبني من خلال مشاركة الآلام والطموحات وسرد القصص هوية مستقلة وجديدة لها. هذه هي اليوتوبيا النسوية التي تتحدث عنها شوالتر، حيث تلتفت النساء نحو الابتكار والإبداع</w:t>
      </w:r>
      <w:r w:rsidRPr="00A9675D">
        <w:rPr>
          <w:rFonts w:ascii="Traditional Arabic" w:hAnsi="Traditional Arabic" w:cs="Traditional Arabic"/>
          <w:sz w:val="28"/>
          <w:szCs w:val="28"/>
        </w:rPr>
        <w:t>.</w:t>
      </w:r>
      <w:r w:rsidRPr="00D24176">
        <w:rPr>
          <w:rtl/>
        </w:rPr>
        <w:t xml:space="preserve"> </w:t>
      </w:r>
      <w:r w:rsidRPr="00D24176">
        <w:rPr>
          <w:rFonts w:ascii="Traditional Arabic" w:hAnsi="Traditional Arabic" w:cs="Traditional Arabic"/>
          <w:sz w:val="28"/>
          <w:szCs w:val="28"/>
          <w:highlight w:val="yellow"/>
          <w:rtl/>
        </w:rPr>
        <w:t xml:space="preserve">ومع ذلك، يبدو أن هذه اليوتوبيا كانت مؤقتة، حيث تعود النساء إلى منازلهن بعد التعبير عن رواياتهن وتشكيل "نحن" قوية، ولا يظهرن استدامة في بناء هويتهن </w:t>
      </w:r>
      <w:r w:rsidRPr="00F72A1E">
        <w:rPr>
          <w:rFonts w:ascii="Traditional Arabic" w:hAnsi="Traditional Arabic" w:cs="Traditional Arabic"/>
          <w:sz w:val="28"/>
          <w:szCs w:val="28"/>
          <w:highlight w:val="yellow"/>
          <w:rtl/>
        </w:rPr>
        <w:t>الجماعية.</w:t>
      </w:r>
      <w:r w:rsidRPr="00F72A1E">
        <w:rPr>
          <w:highlight w:val="yellow"/>
          <w:rtl/>
        </w:rPr>
        <w:t xml:space="preserve"> </w:t>
      </w:r>
      <w:bookmarkStart w:id="4" w:name="_Hlk210664601"/>
      <w:r w:rsidRPr="00F72A1E">
        <w:rPr>
          <w:rFonts w:ascii="Traditional Arabic" w:hAnsi="Traditional Arabic" w:cs="Traditional Arabic"/>
          <w:sz w:val="28"/>
          <w:szCs w:val="28"/>
          <w:highlight w:val="yellow"/>
          <w:rtl/>
        </w:rPr>
        <w:t>حولت عوامل متعددة، كالمخاوف الشخصية والضغوط الاجتماعية والهياكل الذكورية، دون استدامة الهوية الجماعية للنساء في الرواية، مُضعفةً بذلك الهوية الناشئة والمتشكلة في هذه المرحلة.</w:t>
      </w:r>
    </w:p>
    <w:bookmarkEnd w:id="4"/>
    <w:p w14:paraId="024FBA86" w14:textId="77777777" w:rsidR="002E6E11" w:rsidRPr="00A9675D" w:rsidRDefault="002E6E11" w:rsidP="002E6E11">
      <w:pPr>
        <w:bidi/>
        <w:jc w:val="both"/>
        <w:rPr>
          <w:rFonts w:ascii="Traditional Arabic" w:hAnsi="Traditional Arabic" w:cs="Traditional Arabic"/>
          <w:sz w:val="28"/>
          <w:szCs w:val="28"/>
          <w:rtl/>
        </w:rPr>
      </w:pPr>
      <w:r w:rsidRPr="00A9675D">
        <w:rPr>
          <w:rFonts w:ascii="Traditional Arabic" w:hAnsi="Traditional Arabic" w:cs="Traditional Arabic"/>
          <w:sz w:val="28"/>
          <w:szCs w:val="28"/>
          <w:rtl/>
        </w:rPr>
        <w:t>النهاية الرمزية للرواية أيضًا تمثل اتحادًا بين بطلاتها؛ فبعد سرد قصصهن، لا يتوقفن عند حد الرواية، بل يبحثن عن حلول ويعملن على تقوية روابط التضامن بينهن</w:t>
      </w:r>
      <w:r w:rsidRPr="00A9675D">
        <w:rPr>
          <w:rFonts w:ascii="Traditional Arabic" w:hAnsi="Traditional Arabic" w:cs="Traditional Arabic"/>
          <w:sz w:val="28"/>
          <w:szCs w:val="28"/>
        </w:rPr>
        <w:t>.</w:t>
      </w:r>
      <w:r w:rsidRPr="00A9675D">
        <w:rPr>
          <w:rFonts w:ascii="Traditional Arabic" w:hAnsi="Traditional Arabic" w:cs="Traditional Arabic"/>
          <w:sz w:val="28"/>
          <w:szCs w:val="28"/>
          <w:rtl/>
        </w:rPr>
        <w:t xml:space="preserve"> حتى عنوان الرواية "سندريلات مسقط" هو نفسه نموذج لمرحلة اكتساب الهوية في نموذج شوالتر. فهو يشير </w:t>
      </w:r>
      <w:r w:rsidRPr="00A9675D">
        <w:rPr>
          <w:rFonts w:ascii="Traditional Arabic" w:hAnsi="Traditional Arabic" w:cs="Traditional Arabic"/>
          <w:sz w:val="28"/>
          <w:szCs w:val="28"/>
          <w:rtl/>
        </w:rPr>
        <w:lastRenderedPageBreak/>
        <w:t>إلى أن الشخصيات النسائية في رواية حمد، مثل سندريلا، كنّ محتجزات، لكنهن في النهاية، وعلى عكسها، يتخذن إجراءً لإنقاذ أنفسهن، حتى لو كان رمزيًا. وكما تعتقد شوالتر أيضًا، فإن الشخصيات النسائية في الأدب، بعد اجتياز مراحل التقليد والاحتجاج، تصل إلى نقطة تسعى فيها لبناء صوتها وهويتها المستقلة</w:t>
      </w:r>
      <w:r w:rsidRPr="00A9675D">
        <w:rPr>
          <w:rFonts w:ascii="Traditional Arabic" w:hAnsi="Traditional Arabic" w:cs="Traditional Arabic"/>
          <w:sz w:val="28"/>
          <w:szCs w:val="28"/>
        </w:rPr>
        <w:t>.</w:t>
      </w:r>
    </w:p>
    <w:p w14:paraId="47B3622C" w14:textId="77777777" w:rsidR="002E6E11" w:rsidRPr="00A9675D" w:rsidRDefault="002E6E11" w:rsidP="002E6E11">
      <w:pPr>
        <w:bidi/>
        <w:jc w:val="both"/>
        <w:rPr>
          <w:rFonts w:ascii="Traditional Arabic" w:hAnsi="Traditional Arabic" w:cs="Traditional Arabic"/>
          <w:b/>
          <w:bCs/>
          <w:sz w:val="28"/>
          <w:szCs w:val="28"/>
          <w:rtl/>
        </w:rPr>
      </w:pPr>
      <w:r w:rsidRPr="00903281">
        <w:rPr>
          <w:rFonts w:ascii="Traditional Arabic" w:hAnsi="Traditional Arabic" w:cs="Traditional Arabic" w:hint="cs"/>
          <w:b/>
          <w:bCs/>
          <w:sz w:val="28"/>
          <w:szCs w:val="28"/>
          <w:highlight w:val="yellow"/>
          <w:rtl/>
        </w:rPr>
        <w:t>4</w:t>
      </w:r>
      <w:r w:rsidRPr="00903281">
        <w:rPr>
          <w:rFonts w:ascii="Traditional Arabic" w:hAnsi="Traditional Arabic" w:cs="Traditional Arabic"/>
          <w:b/>
          <w:bCs/>
          <w:sz w:val="28"/>
          <w:szCs w:val="28"/>
          <w:highlight w:val="yellow"/>
          <w:rtl/>
        </w:rPr>
        <w:t>.النتائج</w:t>
      </w:r>
    </w:p>
    <w:p w14:paraId="47CA145E" w14:textId="77777777" w:rsidR="002E6E11" w:rsidRPr="00FC4D55" w:rsidRDefault="002E6E11" w:rsidP="002E6E11">
      <w:pPr>
        <w:bidi/>
        <w:jc w:val="both"/>
        <w:rPr>
          <w:rFonts w:ascii="Traditional Arabic" w:hAnsi="Traditional Arabic" w:cs="Traditional Arabic"/>
          <w:sz w:val="28"/>
          <w:szCs w:val="28"/>
          <w:highlight w:val="yellow"/>
          <w:rtl/>
        </w:rPr>
      </w:pPr>
      <w:r w:rsidRPr="00FC4D55">
        <w:rPr>
          <w:rFonts w:ascii="Traditional Arabic" w:hAnsi="Traditional Arabic" w:cs="Traditional Arabic"/>
          <w:sz w:val="28"/>
          <w:szCs w:val="28"/>
          <w:highlight w:val="yellow"/>
          <w:rtl/>
        </w:rPr>
        <w:t>تتناول رواية "سندريلات مسقط" نقد الهياكل الذكورية في المجتمع العُماني، وذلك عبر تمثيل مراحل تطور الهوية الأنثوية. وتوفر الرواية، بصفتها عملاً أدبياً، مساحة لسماع صوت النساء.</w:t>
      </w:r>
      <w:r w:rsidRPr="00FC4D55">
        <w:rPr>
          <w:rFonts w:ascii="Traditional Arabic" w:hAnsi="Traditional Arabic" w:cs="Traditional Arabic" w:hint="cs"/>
          <w:sz w:val="28"/>
          <w:szCs w:val="28"/>
          <w:highlight w:val="yellow"/>
          <w:rtl/>
        </w:rPr>
        <w:t xml:space="preserve"> </w:t>
      </w:r>
      <w:r w:rsidRPr="00FC4D55">
        <w:rPr>
          <w:rFonts w:ascii="Traditional Arabic" w:hAnsi="Traditional Arabic" w:cs="Traditional Arabic"/>
          <w:sz w:val="28"/>
          <w:szCs w:val="28"/>
          <w:highlight w:val="yellow"/>
          <w:rtl/>
        </w:rPr>
        <w:t>تُثبِت الدراسة أن رواية "سندريلات مسقط" للكاتبة هدى حمد تُعد نموذجًا سرديًا تطوريًا يجسد بوضوح المراحل الثلاثة لنم</w:t>
      </w:r>
      <w:r w:rsidRPr="00FC4D55">
        <w:rPr>
          <w:rFonts w:ascii="Traditional Arabic" w:hAnsi="Traditional Arabic" w:cs="Traditional Arabic" w:hint="cs"/>
          <w:sz w:val="28"/>
          <w:szCs w:val="28"/>
          <w:highlight w:val="yellow"/>
          <w:rtl/>
        </w:rPr>
        <w:t>ط</w:t>
      </w:r>
      <w:r w:rsidRPr="00FC4D55">
        <w:rPr>
          <w:rFonts w:ascii="Traditional Arabic" w:hAnsi="Traditional Arabic" w:cs="Traditional Arabic"/>
          <w:sz w:val="28"/>
          <w:szCs w:val="28"/>
          <w:highlight w:val="yellow"/>
          <w:rtl/>
        </w:rPr>
        <w:t xml:space="preserve"> إيلين شوالتر</w:t>
      </w:r>
      <w:r w:rsidRPr="00FC4D55">
        <w:rPr>
          <w:rFonts w:ascii="Traditional Arabic" w:hAnsi="Traditional Arabic" w:cs="Traditional Arabic" w:hint="cs"/>
          <w:sz w:val="28"/>
          <w:szCs w:val="28"/>
          <w:highlight w:val="yellow"/>
          <w:rtl/>
        </w:rPr>
        <w:t xml:space="preserve"> في النقد</w:t>
      </w:r>
      <w:r w:rsidRPr="00FC4D55">
        <w:rPr>
          <w:rFonts w:ascii="Traditional Arabic" w:hAnsi="Traditional Arabic" w:cs="Traditional Arabic"/>
          <w:sz w:val="28"/>
          <w:szCs w:val="28"/>
          <w:highlight w:val="yellow"/>
          <w:rtl/>
        </w:rPr>
        <w:t xml:space="preserve"> النسوي</w:t>
      </w:r>
      <w:r w:rsidRPr="00FC4D55">
        <w:rPr>
          <w:rFonts w:ascii="Traditional Arabic" w:hAnsi="Traditional Arabic" w:cs="Traditional Arabic" w:hint="cs"/>
          <w:sz w:val="28"/>
          <w:szCs w:val="28"/>
          <w:highlight w:val="yellow"/>
          <w:rtl/>
        </w:rPr>
        <w:t xml:space="preserve">. </w:t>
      </w:r>
      <w:r w:rsidRPr="00FC4D55">
        <w:rPr>
          <w:rFonts w:ascii="Traditional Arabic" w:hAnsi="Traditional Arabic" w:cs="Traditional Arabic"/>
          <w:sz w:val="28"/>
          <w:szCs w:val="28"/>
          <w:highlight w:val="yellow"/>
          <w:rtl/>
        </w:rPr>
        <w:t>تكشف الرواية عن مسار تشكّل الوعي والهوية النسوية لدى الشخصيات عبر انتقالها من:</w:t>
      </w:r>
    </w:p>
    <w:p w14:paraId="2E7C3796" w14:textId="77777777" w:rsidR="002E6E11" w:rsidRPr="00DE5FD2" w:rsidRDefault="002E6E11" w:rsidP="002E6E11">
      <w:pPr>
        <w:bidi/>
        <w:jc w:val="both"/>
        <w:rPr>
          <w:rFonts w:ascii="Traditional Arabic" w:hAnsi="Traditional Arabic" w:cs="Traditional Arabic"/>
          <w:sz w:val="28"/>
          <w:szCs w:val="28"/>
          <w:highlight w:val="yellow"/>
          <w:rtl/>
        </w:rPr>
      </w:pPr>
      <w:r w:rsidRPr="00DE5FD2">
        <w:rPr>
          <w:rFonts w:ascii="Traditional Arabic" w:hAnsi="Traditional Arabic" w:cs="Traditional Arabic"/>
          <w:sz w:val="28"/>
          <w:szCs w:val="28"/>
          <w:highlight w:val="yellow"/>
          <w:rtl/>
        </w:rPr>
        <w:t xml:space="preserve"> المرحلة الأنثوية (</w:t>
      </w:r>
      <w:r w:rsidRPr="00DE5FD2">
        <w:rPr>
          <w:rFonts w:ascii="Traditional Arabic" w:hAnsi="Traditional Arabic" w:cs="Traditional Arabic"/>
          <w:sz w:val="28"/>
          <w:szCs w:val="28"/>
          <w:highlight w:val="yellow"/>
        </w:rPr>
        <w:t>Feminine</w:t>
      </w:r>
      <w:r w:rsidRPr="00DE5FD2">
        <w:rPr>
          <w:rFonts w:ascii="Traditional Arabic" w:hAnsi="Traditional Arabic" w:cs="Traditional Arabic"/>
          <w:sz w:val="28"/>
          <w:szCs w:val="28"/>
          <w:highlight w:val="yellow"/>
          <w:rtl/>
        </w:rPr>
        <w:t>): المتمثلة في شخصية تهاني التي تستدمج الأدوار الأبوية التقليدية وتُعرّف ذاتها من خلال خدمة الآخرين، وتعكس حالة الانصياع والتقليد</w:t>
      </w:r>
      <w:r w:rsidRPr="00DE5FD2">
        <w:rPr>
          <w:rFonts w:ascii="Traditional Arabic" w:hAnsi="Traditional Arabic" w:cs="Traditional Arabic" w:hint="cs"/>
          <w:sz w:val="28"/>
          <w:szCs w:val="28"/>
          <w:highlight w:val="yellow"/>
          <w:rtl/>
        </w:rPr>
        <w:t xml:space="preserve"> </w:t>
      </w:r>
      <w:r w:rsidRPr="00DE5FD2">
        <w:rPr>
          <w:rFonts w:ascii="Traditional Arabic" w:hAnsi="Traditional Arabic" w:cs="Traditional Arabic"/>
          <w:sz w:val="28"/>
          <w:szCs w:val="28"/>
          <w:highlight w:val="yellow"/>
          <w:rtl/>
        </w:rPr>
        <w:t>دون أي اعتبار لاحتياجاتها أو رغباتها الشخصية.</w:t>
      </w:r>
    </w:p>
    <w:p w14:paraId="6E6D3C5F" w14:textId="77777777" w:rsidR="002E6E11" w:rsidRPr="00FC4D55" w:rsidRDefault="002E6E11" w:rsidP="002E6E11">
      <w:pPr>
        <w:bidi/>
        <w:jc w:val="both"/>
        <w:rPr>
          <w:rFonts w:ascii="Traditional Arabic" w:hAnsi="Traditional Arabic" w:cs="Traditional Arabic"/>
          <w:sz w:val="28"/>
          <w:szCs w:val="28"/>
          <w:highlight w:val="yellow"/>
          <w:rtl/>
        </w:rPr>
      </w:pPr>
      <w:r w:rsidRPr="00FC4D55">
        <w:rPr>
          <w:rFonts w:ascii="Traditional Arabic" w:hAnsi="Traditional Arabic" w:cs="Traditional Arabic"/>
          <w:sz w:val="28"/>
          <w:szCs w:val="28"/>
          <w:highlight w:val="yellow"/>
          <w:rtl/>
        </w:rPr>
        <w:t xml:space="preserve"> المرحلة النسوية (</w:t>
      </w:r>
      <w:r w:rsidRPr="00FC4D55">
        <w:rPr>
          <w:rFonts w:ascii="Traditional Arabic" w:hAnsi="Traditional Arabic" w:cs="Traditional Arabic"/>
          <w:sz w:val="28"/>
          <w:szCs w:val="28"/>
          <w:highlight w:val="yellow"/>
        </w:rPr>
        <w:t>Feminist</w:t>
      </w:r>
      <w:r w:rsidRPr="00FC4D55">
        <w:rPr>
          <w:rFonts w:ascii="Traditional Arabic" w:hAnsi="Traditional Arabic" w:cs="Traditional Arabic"/>
          <w:sz w:val="28"/>
          <w:szCs w:val="28"/>
          <w:highlight w:val="yellow"/>
          <w:rtl/>
        </w:rPr>
        <w:t>): المتمثلة في شخصية ربيعة ونوف، حيث يتجسد الاحتجاج الرمزي والمقاومة ضد القيود الأبوية (كالحرمان من الأمومة أو التحكم في قيمة المرأة بناءً على جسدها). ورغم وعيهن بالظلم، فإن الخوف الداخلي يعيق تحررهن الكامل، مما يعكس مرحلة انتقالية متوترة.</w:t>
      </w:r>
      <w:r w:rsidRPr="00FC4D55">
        <w:rPr>
          <w:highlight w:val="yellow"/>
          <w:rtl/>
        </w:rPr>
        <w:t xml:space="preserve"> </w:t>
      </w:r>
      <w:r w:rsidRPr="00FC4D55">
        <w:rPr>
          <w:rFonts w:ascii="Traditional Arabic" w:hAnsi="Traditional Arabic" w:cs="Traditional Arabic" w:hint="cs"/>
          <w:sz w:val="28"/>
          <w:szCs w:val="28"/>
          <w:highlight w:val="yellow"/>
          <w:rtl/>
        </w:rPr>
        <w:t>إنتقال إلی</w:t>
      </w:r>
      <w:r w:rsidRPr="00FC4D55">
        <w:rPr>
          <w:rFonts w:ascii="Traditional Arabic" w:hAnsi="Traditional Arabic" w:cs="Traditional Arabic"/>
          <w:sz w:val="28"/>
          <w:szCs w:val="28"/>
          <w:highlight w:val="yellow"/>
          <w:rtl/>
        </w:rPr>
        <w:t xml:space="preserve"> مرحلة الذات المعترضة، المتمثلة في شخصيتي ربيعة ونوف، حيث يظهر الوعي بالظلم والمقاومة الرمزية للقيود المفروضة على المرأة، مثل الحرمان من الأدوار الاجتماعية أو التقييم على أساس الجسد. ورغم هذا الوعي، لا تزال مخاوفهن الداخلية تمنع التحرر الكامل، مما يجعل هذه المرحلة مرحلة انتقالية مليئة بالتوتر النفسي والاجتماعي.</w:t>
      </w:r>
    </w:p>
    <w:p w14:paraId="6FB20245" w14:textId="77777777" w:rsidR="002E6E11" w:rsidRPr="00351AE0" w:rsidRDefault="002E6E11" w:rsidP="002E6E11">
      <w:pPr>
        <w:bidi/>
        <w:jc w:val="both"/>
        <w:rPr>
          <w:rFonts w:ascii="Traditional Arabic" w:hAnsi="Traditional Arabic" w:cs="Traditional Arabic"/>
          <w:sz w:val="28"/>
          <w:szCs w:val="28"/>
          <w:highlight w:val="yellow"/>
          <w:rtl/>
        </w:rPr>
      </w:pPr>
      <w:r w:rsidRPr="00351AE0">
        <w:rPr>
          <w:rFonts w:ascii="Traditional Arabic" w:hAnsi="Traditional Arabic" w:cs="Traditional Arabic"/>
          <w:sz w:val="28"/>
          <w:szCs w:val="28"/>
          <w:highlight w:val="yellow"/>
          <w:rtl/>
        </w:rPr>
        <w:t xml:space="preserve"> المرحلة الأنثى-المحور (</w:t>
      </w:r>
      <w:r w:rsidRPr="00351AE0">
        <w:rPr>
          <w:rFonts w:ascii="Traditional Arabic" w:hAnsi="Traditional Arabic" w:cs="Traditional Arabic"/>
          <w:sz w:val="28"/>
          <w:szCs w:val="28"/>
          <w:highlight w:val="yellow"/>
        </w:rPr>
        <w:t>Female</w:t>
      </w:r>
      <w:r w:rsidRPr="00351AE0">
        <w:rPr>
          <w:rFonts w:ascii="Traditional Arabic" w:hAnsi="Traditional Arabic" w:cs="Traditional Arabic"/>
          <w:sz w:val="28"/>
          <w:szCs w:val="28"/>
          <w:highlight w:val="yellow"/>
          <w:rtl/>
        </w:rPr>
        <w:t xml:space="preserve">): المتمثلة في المسار العام للرواية (اجتماع السندريلات في المطعم) الذي يمثل ملاذًا وفضاءً مستقلاً لتشكيل الهوية الجماعية والفردية. يمثل هذا التجمع صوتاً مستقلاً واكتشافاً للذات خارج الأطر الذكورية. ومع ذلك، </w:t>
      </w:r>
      <w:bookmarkStart w:id="5" w:name="_Hlk210664888"/>
      <w:r w:rsidRPr="00351AE0">
        <w:rPr>
          <w:rFonts w:ascii="Traditional Arabic" w:hAnsi="Traditional Arabic" w:cs="Traditional Arabic"/>
          <w:sz w:val="28"/>
          <w:szCs w:val="28"/>
          <w:highlight w:val="yellow"/>
          <w:rtl/>
        </w:rPr>
        <w:t>يبدو أن هذه اليوتوبيا والمرحلة الثالثة من نمط إيلين شوالتر كانت مؤقتة ضمن سياق الرواية بسبب المخاوف المتجذّرة والضغوط الاجتماعية</w:t>
      </w:r>
      <w:r w:rsidRPr="00351AE0">
        <w:rPr>
          <w:rFonts w:ascii="Traditional Arabic" w:hAnsi="Traditional Arabic" w:cs="Traditional Arabic" w:hint="cs"/>
          <w:sz w:val="28"/>
          <w:szCs w:val="28"/>
          <w:highlight w:val="yellow"/>
          <w:rtl/>
        </w:rPr>
        <w:t>.</w:t>
      </w:r>
    </w:p>
    <w:bookmarkEnd w:id="5"/>
    <w:p w14:paraId="1B0DF15A" w14:textId="77777777" w:rsidR="002E6E11" w:rsidRPr="00454167" w:rsidRDefault="002E6E11" w:rsidP="002E6E11">
      <w:pPr>
        <w:bidi/>
        <w:jc w:val="both"/>
        <w:rPr>
          <w:rFonts w:ascii="Traditional Arabic" w:hAnsi="Traditional Arabic" w:cs="Traditional Arabic"/>
          <w:sz w:val="28"/>
          <w:szCs w:val="28"/>
          <w:highlight w:val="yellow"/>
          <w:rtl/>
        </w:rPr>
      </w:pPr>
      <w:r w:rsidRPr="00454167">
        <w:rPr>
          <w:rFonts w:ascii="Traditional Arabic" w:hAnsi="Traditional Arabic" w:cs="Traditional Arabic"/>
          <w:sz w:val="28"/>
          <w:szCs w:val="28"/>
          <w:highlight w:val="yellow"/>
          <w:rtl/>
        </w:rPr>
        <w:t>تعد مرحلة "</w:t>
      </w:r>
      <w:r w:rsidRPr="00F0308F">
        <w:rPr>
          <w:rFonts w:ascii="Traditional Arabic" w:hAnsi="Traditional Arabic" w:cs="Traditional Arabic"/>
          <w:sz w:val="28"/>
          <w:szCs w:val="28"/>
          <w:highlight w:val="yellow"/>
          <w:rtl/>
        </w:rPr>
        <w:t>الأنثى-المحور</w:t>
      </w:r>
      <w:r w:rsidRPr="00454167">
        <w:rPr>
          <w:rFonts w:ascii="Traditional Arabic" w:hAnsi="Traditional Arabic" w:cs="Traditional Arabic"/>
          <w:sz w:val="28"/>
          <w:szCs w:val="28"/>
          <w:highlight w:val="yellow"/>
          <w:rtl/>
        </w:rPr>
        <w:t>" (</w:t>
      </w:r>
      <w:r w:rsidRPr="00454167">
        <w:rPr>
          <w:rFonts w:ascii="Traditional Arabic" w:hAnsi="Traditional Arabic" w:cs="Traditional Arabic"/>
          <w:sz w:val="28"/>
          <w:szCs w:val="28"/>
          <w:highlight w:val="yellow"/>
        </w:rPr>
        <w:t>Female Stage</w:t>
      </w:r>
      <w:r w:rsidRPr="00454167">
        <w:rPr>
          <w:rFonts w:ascii="Traditional Arabic" w:hAnsi="Traditional Arabic" w:cs="Traditional Arabic"/>
          <w:sz w:val="28"/>
          <w:szCs w:val="28"/>
          <w:highlight w:val="yellow"/>
          <w:rtl/>
        </w:rPr>
        <w:t xml:space="preserve">) أبرز المراحل في تمثيل المسار التطوري للشخصيات النسائية في رواية "سندريلات مسقط". يكمن تميز هذه المرحلة في أن المطعم يمثل فضاءً نسائيًا مستقلًا، حيث تبتعد النساء عن الأدوار التقليدية كالزوجة والأم، وتنشئن هوية جماعية وفردية متكاملة. هذا الفضاء، على عكس المراحل السابقة التي اقتصرت على القبول أو الاحتجاج المحدود، يتيح إمكانية التعبير عن الذات وتعزيز التضامن بين النساء. إن سرد القصص والدعم المتبادل في المطعم يدل على تشكيل "نحن" جماعية، وهو ما تصفه إيلين شوالتر بأنه سمة أساسية لمرحلة "الأنثى". كما أن عنوان الرواية، "سندريلات مسقط"، يعكس رمزية هذه المرحلة، إذ تتحرر نساء الرواية، مثل سندريلا، من القيود التقليدية ويسعين نحو هوية مستقلة، وتظهر هذه الحركة الجماعية نحو المطعم والسعي لإيجاد حلول </w:t>
      </w:r>
      <w:r w:rsidRPr="00454167">
        <w:rPr>
          <w:rFonts w:ascii="Traditional Arabic" w:hAnsi="Traditional Arabic" w:cs="Traditional Arabic"/>
          <w:sz w:val="28"/>
          <w:szCs w:val="28"/>
          <w:highlight w:val="yellow"/>
          <w:rtl/>
        </w:rPr>
        <w:lastRenderedPageBreak/>
        <w:t>وتعزيز روابط التضامن كذروة لتطور الهوية الأنثوية في النص.</w:t>
      </w:r>
      <w:r w:rsidRPr="00454167">
        <w:rPr>
          <w:rtl/>
        </w:rPr>
        <w:t xml:space="preserve"> </w:t>
      </w:r>
      <w:r w:rsidRPr="00454167">
        <w:rPr>
          <w:rFonts w:ascii="Traditional Arabic" w:hAnsi="Traditional Arabic" w:cs="Traditional Arabic"/>
          <w:sz w:val="28"/>
          <w:szCs w:val="28"/>
          <w:highlight w:val="yellow"/>
          <w:rtl/>
        </w:rPr>
        <w:t>تُظهر الرواية هذا الانتقال التدريجي في وعي وهوية الشخصيات النسائية من خلال تجاربهن المختلفة، مما يتيح للنساء التعبير بحرية وتعزيز التضامن بينهن. كما يعزز عنوان الرواية، "سندريلات مسقط"، هذه العملية الرمزية، إذ تتحرر الشخصيات، مثل سندريلا، من القيود التقليدية وتسعى وراء هوية مستقلة</w:t>
      </w:r>
      <w:r w:rsidRPr="00454167">
        <w:rPr>
          <w:rFonts w:ascii="Traditional Arabic" w:hAnsi="Traditional Arabic" w:cs="Traditional Arabic" w:hint="cs"/>
          <w:sz w:val="28"/>
          <w:szCs w:val="28"/>
          <w:highlight w:val="yellow"/>
          <w:rtl/>
        </w:rPr>
        <w:t xml:space="preserve">. </w:t>
      </w:r>
      <w:r w:rsidRPr="00454167">
        <w:rPr>
          <w:rFonts w:ascii="Traditional Arabic" w:hAnsi="Traditional Arabic" w:cs="Traditional Arabic"/>
          <w:sz w:val="28"/>
          <w:szCs w:val="28"/>
          <w:highlight w:val="yellow"/>
          <w:rtl/>
        </w:rPr>
        <w:t>هذا الانتقال أسهم في إيجاد حلول للتحرر الجماعي وبناء فضاء نسوي مستقل حتى لو كان مؤقتاً</w:t>
      </w:r>
      <w:r w:rsidRPr="00454167">
        <w:rPr>
          <w:rFonts w:ascii="Traditional Arabic" w:hAnsi="Traditional Arabic" w:cs="Traditional Arabic" w:hint="cs"/>
          <w:sz w:val="28"/>
          <w:szCs w:val="28"/>
          <w:highlight w:val="yellow"/>
          <w:rtl/>
        </w:rPr>
        <w:t>.</w:t>
      </w:r>
    </w:p>
    <w:p w14:paraId="00F0CCE9" w14:textId="77777777" w:rsidR="002E6E11" w:rsidRDefault="002E6E11" w:rsidP="002E6E11">
      <w:pPr>
        <w:bidi/>
        <w:jc w:val="both"/>
        <w:rPr>
          <w:rFonts w:ascii="Traditional Arabic" w:hAnsi="Traditional Arabic" w:cs="Traditional Arabic"/>
          <w:sz w:val="28"/>
          <w:szCs w:val="28"/>
          <w:rtl/>
        </w:rPr>
      </w:pPr>
      <w:r w:rsidRPr="00FC4D55">
        <w:rPr>
          <w:rFonts w:ascii="Traditional Arabic" w:hAnsi="Traditional Arabic" w:cs="Traditional Arabic"/>
          <w:sz w:val="28"/>
          <w:szCs w:val="28"/>
          <w:highlight w:val="yellow"/>
          <w:rtl/>
        </w:rPr>
        <w:t>تستخدم الكاتبة هذا المسار التطوري لنقد أوجه عدم المساواة المنهجية ضد المرأة في المجتمع العماني، متجاوزة السرد الذكوري المهيمن. لا تكتفي الرواية بتصوير الظلم، بل تبرز وكالة المرأة الفاعلة وقدرتها على تحقيق التمكين الداخلي والتضامن الجماعي عبر السرد المشترك لقصصهن</w:t>
      </w:r>
      <w:r w:rsidRPr="00FC4D55">
        <w:rPr>
          <w:rFonts w:ascii="Traditional Arabic" w:hAnsi="Traditional Arabic" w:cs="Traditional Arabic" w:hint="cs"/>
          <w:sz w:val="28"/>
          <w:szCs w:val="28"/>
          <w:highlight w:val="yellow"/>
          <w:rtl/>
        </w:rPr>
        <w:t xml:space="preserve"> و</w:t>
      </w:r>
      <w:r w:rsidRPr="00FC4D55">
        <w:rPr>
          <w:rFonts w:ascii="Traditional Arabic" w:hAnsi="Traditional Arabic" w:cs="Traditional Arabic"/>
          <w:sz w:val="28"/>
          <w:szCs w:val="28"/>
          <w:highlight w:val="yellow"/>
          <w:rtl/>
        </w:rPr>
        <w:t>يعكس العمل المظالم الجندرية، والمقاومات الفردية والجماعية، والسعي نحو الاستقلالية الذاتية. ويُعد المطعم</w:t>
      </w:r>
      <w:r w:rsidRPr="00FC4D55">
        <w:rPr>
          <w:rFonts w:ascii="Traditional Arabic" w:hAnsi="Traditional Arabic" w:cs="Traditional Arabic" w:hint="cs"/>
          <w:sz w:val="28"/>
          <w:szCs w:val="28"/>
          <w:highlight w:val="yellow"/>
          <w:rtl/>
        </w:rPr>
        <w:t xml:space="preserve"> في هذه الرواية</w:t>
      </w:r>
      <w:r w:rsidRPr="00FC4D55">
        <w:rPr>
          <w:rFonts w:ascii="Traditional Arabic" w:hAnsi="Traditional Arabic" w:cs="Traditional Arabic"/>
          <w:sz w:val="28"/>
          <w:szCs w:val="28"/>
          <w:highlight w:val="yellow"/>
          <w:rtl/>
        </w:rPr>
        <w:t>، بصفته فضاءً نسائياً، مثالاً لـ</w:t>
      </w:r>
      <w:r w:rsidRPr="00FC4D55">
        <w:rPr>
          <w:rFonts w:ascii="Traditional Arabic" w:hAnsi="Traditional Arabic" w:cs="Traditional Arabic" w:hint="cs"/>
          <w:sz w:val="28"/>
          <w:szCs w:val="28"/>
          <w:highlight w:val="yellow"/>
          <w:rtl/>
        </w:rPr>
        <w:t>ل</w:t>
      </w:r>
      <w:r w:rsidRPr="00FC4D55">
        <w:rPr>
          <w:rFonts w:ascii="Traditional Arabic" w:hAnsi="Traditional Arabic" w:cs="Traditional Arabic"/>
          <w:sz w:val="28"/>
          <w:szCs w:val="28"/>
          <w:highlight w:val="yellow"/>
          <w:rtl/>
        </w:rPr>
        <w:t xml:space="preserve">يوتوبيا </w:t>
      </w:r>
      <w:r w:rsidRPr="00FC4D55">
        <w:rPr>
          <w:rFonts w:ascii="Traditional Arabic" w:hAnsi="Traditional Arabic" w:cs="Traditional Arabic" w:hint="cs"/>
          <w:sz w:val="28"/>
          <w:szCs w:val="28"/>
          <w:highlight w:val="yellow"/>
          <w:rtl/>
        </w:rPr>
        <w:t>ال</w:t>
      </w:r>
      <w:r w:rsidRPr="00FC4D55">
        <w:rPr>
          <w:rFonts w:ascii="Traditional Arabic" w:hAnsi="Traditional Arabic" w:cs="Traditional Arabic"/>
          <w:sz w:val="28"/>
          <w:szCs w:val="28"/>
          <w:highlight w:val="yellow"/>
          <w:rtl/>
        </w:rPr>
        <w:t>مؤقتة، حيث تبني النساء هويتهن المستقلة عبر السرد والتضامن.</w:t>
      </w:r>
      <w:r w:rsidRPr="00FC4D55">
        <w:rPr>
          <w:rFonts w:ascii="Traditional Arabic" w:hAnsi="Traditional Arabic" w:cs="Traditional Arabic" w:hint="cs"/>
          <w:sz w:val="28"/>
          <w:szCs w:val="28"/>
          <w:highlight w:val="yellow"/>
          <w:rtl/>
        </w:rPr>
        <w:t xml:space="preserve"> </w:t>
      </w:r>
      <w:r w:rsidRPr="00FC4D55">
        <w:rPr>
          <w:rFonts w:ascii="Traditional Arabic" w:hAnsi="Traditional Arabic" w:cs="Traditional Arabic"/>
          <w:sz w:val="28"/>
          <w:szCs w:val="28"/>
          <w:highlight w:val="yellow"/>
          <w:rtl/>
        </w:rPr>
        <w:t>في هذا الفضاء، تتاح للشخصيات إمكانية التعبير عن الذات بحرية، وتشكيل هويتهن الفردية والجماعية بعيدًا عن الإطار الأبوي المهيمن. يعكس هذا التطور الانتقال من القبول الصامت للمعايير الأبوية إلى الوعي بالمقاومة، وصولاً إلى خلق فضاء أنثوي مستقل يمكّن المرأة من تحقيق الاستقلالية الداخلية والتضامن الجماعي، ويُبرز الرواية كأداة لنقد البنى الاجتماعية التقليدية وتمكين المرأة ضمن النص الأدبي.</w:t>
      </w:r>
      <w:r w:rsidRPr="00FC4D55">
        <w:rPr>
          <w:highlight w:val="yellow"/>
          <w:rtl/>
        </w:rPr>
        <w:t xml:space="preserve"> </w:t>
      </w:r>
      <w:r w:rsidRPr="00FC4D55">
        <w:rPr>
          <w:rFonts w:ascii="Traditional Arabic" w:hAnsi="Traditional Arabic" w:cs="Traditional Arabic"/>
          <w:sz w:val="28"/>
          <w:szCs w:val="28"/>
          <w:highlight w:val="yellow"/>
          <w:rtl/>
        </w:rPr>
        <w:t>حولت عوامل متعددة، كالمخاوف الشخصية والضغوط الاجتماعية والهياكل الذكورية، دون استدامة الهوية الجماعية للنساء في الرواية، مُضعفةً بذلك الهوية الناشئة والمتشكلة</w:t>
      </w:r>
      <w:r w:rsidRPr="00FC4D55">
        <w:rPr>
          <w:rFonts w:ascii="Traditional Arabic" w:hAnsi="Traditional Arabic" w:cs="Traditional Arabic" w:hint="cs"/>
          <w:sz w:val="28"/>
          <w:szCs w:val="28"/>
          <w:highlight w:val="yellow"/>
          <w:rtl/>
        </w:rPr>
        <w:t xml:space="preserve"> و</w:t>
      </w:r>
      <w:r w:rsidRPr="00FC4D55">
        <w:rPr>
          <w:rFonts w:ascii="Traditional Arabic" w:hAnsi="Traditional Arabic" w:cs="Traditional Arabic"/>
          <w:sz w:val="28"/>
          <w:szCs w:val="28"/>
          <w:highlight w:val="yellow"/>
          <w:rtl/>
        </w:rPr>
        <w:t xml:space="preserve">المرحلة الثالثة من </w:t>
      </w:r>
      <w:r w:rsidRPr="00FC4D55">
        <w:rPr>
          <w:rFonts w:ascii="Traditional Arabic" w:hAnsi="Traditional Arabic" w:cs="Traditional Arabic" w:hint="cs"/>
          <w:sz w:val="28"/>
          <w:szCs w:val="28"/>
          <w:highlight w:val="yellow"/>
          <w:rtl/>
        </w:rPr>
        <w:t>نمط</w:t>
      </w:r>
      <w:r w:rsidRPr="00FC4D55">
        <w:rPr>
          <w:rFonts w:ascii="Traditional Arabic" w:hAnsi="Traditional Arabic" w:cs="Traditional Arabic"/>
          <w:sz w:val="28"/>
          <w:szCs w:val="28"/>
          <w:highlight w:val="yellow"/>
          <w:rtl/>
        </w:rPr>
        <w:t xml:space="preserve"> إيلين شوالتر لم تتحقق بشكل كامل في هذه الرواية.</w:t>
      </w:r>
    </w:p>
    <w:p w14:paraId="30F1B780" w14:textId="77777777" w:rsidR="002E6E11" w:rsidRDefault="002E6E11" w:rsidP="002E6E11">
      <w:pPr>
        <w:bidi/>
        <w:jc w:val="both"/>
        <w:rPr>
          <w:rFonts w:ascii="Traditional Arabic" w:hAnsi="Traditional Arabic" w:cs="Traditional Arabic"/>
          <w:sz w:val="28"/>
          <w:szCs w:val="28"/>
          <w:rtl/>
        </w:rPr>
      </w:pPr>
    </w:p>
    <w:p w14:paraId="44196D76" w14:textId="77777777" w:rsidR="002E6E11" w:rsidRDefault="002E6E11" w:rsidP="002E6E11">
      <w:pPr>
        <w:bidi/>
        <w:jc w:val="both"/>
        <w:rPr>
          <w:rFonts w:ascii="Traditional Arabic" w:hAnsi="Traditional Arabic" w:cs="Traditional Arabic"/>
          <w:sz w:val="28"/>
          <w:szCs w:val="28"/>
          <w:rtl/>
        </w:rPr>
      </w:pPr>
    </w:p>
    <w:p w14:paraId="1E89238B" w14:textId="77777777" w:rsidR="002E6E11" w:rsidRDefault="002E6E11" w:rsidP="002E6E11">
      <w:pPr>
        <w:bidi/>
        <w:jc w:val="both"/>
        <w:rPr>
          <w:rFonts w:ascii="Traditional Arabic" w:hAnsi="Traditional Arabic" w:cs="Traditional Arabic"/>
          <w:sz w:val="28"/>
          <w:szCs w:val="28"/>
          <w:rtl/>
        </w:rPr>
      </w:pPr>
    </w:p>
    <w:p w14:paraId="0E255B39" w14:textId="77777777" w:rsidR="002E6E11" w:rsidRDefault="002E6E11" w:rsidP="002E6E11">
      <w:pPr>
        <w:bidi/>
        <w:jc w:val="both"/>
        <w:rPr>
          <w:rFonts w:ascii="Traditional Arabic" w:hAnsi="Traditional Arabic" w:cs="Traditional Arabic"/>
          <w:sz w:val="28"/>
          <w:szCs w:val="28"/>
          <w:rtl/>
        </w:rPr>
      </w:pPr>
    </w:p>
    <w:p w14:paraId="4A29575F" w14:textId="77777777" w:rsidR="002E6E11" w:rsidRDefault="002E6E11" w:rsidP="002E6E11">
      <w:pPr>
        <w:bidi/>
        <w:jc w:val="both"/>
        <w:rPr>
          <w:rFonts w:ascii="Traditional Arabic" w:hAnsi="Traditional Arabic" w:cs="Traditional Arabic"/>
          <w:sz w:val="28"/>
          <w:szCs w:val="28"/>
          <w:rtl/>
        </w:rPr>
      </w:pPr>
    </w:p>
    <w:p w14:paraId="2F09C429" w14:textId="77777777" w:rsidR="002E6E11" w:rsidRDefault="002E6E11" w:rsidP="002E6E11">
      <w:pPr>
        <w:bidi/>
        <w:jc w:val="both"/>
        <w:rPr>
          <w:rFonts w:ascii="Traditional Arabic" w:hAnsi="Traditional Arabic" w:cs="Traditional Arabic"/>
          <w:sz w:val="28"/>
          <w:szCs w:val="28"/>
          <w:rtl/>
        </w:rPr>
      </w:pPr>
    </w:p>
    <w:p w14:paraId="24B71AE9" w14:textId="77777777" w:rsidR="002E6E11" w:rsidRDefault="002E6E11" w:rsidP="002E6E11">
      <w:pPr>
        <w:bidi/>
        <w:jc w:val="both"/>
        <w:rPr>
          <w:rFonts w:ascii="Traditional Arabic" w:hAnsi="Traditional Arabic" w:cs="Traditional Arabic"/>
          <w:sz w:val="28"/>
          <w:szCs w:val="28"/>
          <w:rtl/>
        </w:rPr>
      </w:pPr>
    </w:p>
    <w:p w14:paraId="1F901119" w14:textId="77777777" w:rsidR="002E6E11" w:rsidRDefault="002E6E11" w:rsidP="002E6E11">
      <w:pPr>
        <w:bidi/>
        <w:jc w:val="both"/>
        <w:rPr>
          <w:rFonts w:ascii="Traditional Arabic" w:hAnsi="Traditional Arabic" w:cs="Traditional Arabic"/>
          <w:sz w:val="28"/>
          <w:szCs w:val="28"/>
          <w:rtl/>
        </w:rPr>
      </w:pPr>
    </w:p>
    <w:p w14:paraId="74ECA540" w14:textId="77777777" w:rsidR="002E6E11" w:rsidRDefault="002E6E11" w:rsidP="002E6E11">
      <w:pPr>
        <w:bidi/>
        <w:jc w:val="both"/>
        <w:rPr>
          <w:rFonts w:ascii="Traditional Arabic" w:hAnsi="Traditional Arabic" w:cs="Traditional Arabic"/>
          <w:sz w:val="28"/>
          <w:szCs w:val="28"/>
          <w:rtl/>
        </w:rPr>
      </w:pPr>
    </w:p>
    <w:p w14:paraId="358C78CB" w14:textId="77777777" w:rsidR="002E6E11" w:rsidRPr="00A9675D" w:rsidRDefault="002E6E11" w:rsidP="002E6E11">
      <w:pPr>
        <w:bidi/>
        <w:jc w:val="both"/>
        <w:rPr>
          <w:rFonts w:ascii="Traditional Arabic" w:hAnsi="Traditional Arabic" w:cs="Traditional Arabic"/>
          <w:sz w:val="28"/>
          <w:szCs w:val="28"/>
          <w:rtl/>
        </w:rPr>
      </w:pPr>
    </w:p>
    <w:p w14:paraId="6902D6FD" w14:textId="77777777" w:rsidR="002E6E11" w:rsidRPr="00A9675D" w:rsidRDefault="002E6E11" w:rsidP="002E6E11">
      <w:pPr>
        <w:bidi/>
        <w:jc w:val="both"/>
        <w:rPr>
          <w:rFonts w:ascii="Traditional Arabic" w:hAnsi="Traditional Arabic" w:cs="Traditional Arabic"/>
          <w:b/>
          <w:bCs/>
          <w:sz w:val="28"/>
          <w:szCs w:val="28"/>
          <w:rtl/>
        </w:rPr>
      </w:pPr>
      <w:r w:rsidRPr="00A9675D">
        <w:rPr>
          <w:rFonts w:ascii="Traditional Arabic" w:hAnsi="Traditional Arabic" w:cs="Traditional Arabic"/>
          <w:b/>
          <w:bCs/>
          <w:sz w:val="28"/>
          <w:szCs w:val="28"/>
          <w:rtl/>
        </w:rPr>
        <w:lastRenderedPageBreak/>
        <w:t>قائمة المصادر والمراجع</w:t>
      </w:r>
    </w:p>
    <w:p w14:paraId="2CFEA08C" w14:textId="77777777" w:rsidR="002E6E11" w:rsidRPr="00903281" w:rsidRDefault="002E6E11" w:rsidP="002E6E11">
      <w:pPr>
        <w:bidi/>
        <w:jc w:val="both"/>
        <w:rPr>
          <w:rFonts w:ascii="Traditional Arabic" w:hAnsi="Traditional Arabic" w:cs="Traditional Arabic"/>
          <w:sz w:val="28"/>
          <w:szCs w:val="28"/>
          <w:highlight w:val="yellow"/>
          <w:rtl/>
        </w:rPr>
      </w:pPr>
      <w:r w:rsidRPr="00903281">
        <w:rPr>
          <w:rFonts w:ascii="Traditional Arabic" w:hAnsi="Traditional Arabic" w:cs="Traditional Arabic"/>
          <w:sz w:val="28"/>
          <w:szCs w:val="28"/>
          <w:highlight w:val="yellow"/>
          <w:rtl/>
        </w:rPr>
        <w:t>بوفوار، سيمون دي. (2000). الجنس الثاني (ترجمة: قاسم صنعوي، الطبعة السابعة). طهران: توس</w:t>
      </w:r>
      <w:r w:rsidRPr="00903281">
        <w:rPr>
          <w:rFonts w:ascii="Traditional Arabic" w:hAnsi="Traditional Arabic" w:cs="Traditional Arabic"/>
          <w:sz w:val="28"/>
          <w:szCs w:val="28"/>
          <w:highlight w:val="yellow"/>
        </w:rPr>
        <w:t>.</w:t>
      </w:r>
    </w:p>
    <w:p w14:paraId="3F61DF45" w14:textId="77777777" w:rsidR="002E6E11" w:rsidRPr="00903281" w:rsidRDefault="002E6E11" w:rsidP="002E6E11">
      <w:pPr>
        <w:bidi/>
        <w:jc w:val="both"/>
        <w:rPr>
          <w:rFonts w:ascii="Traditional Arabic" w:hAnsi="Traditional Arabic" w:cs="Traditional Arabic"/>
          <w:sz w:val="28"/>
          <w:szCs w:val="28"/>
          <w:highlight w:val="yellow"/>
          <w:rtl/>
        </w:rPr>
      </w:pPr>
      <w:r w:rsidRPr="00903281">
        <w:rPr>
          <w:rFonts w:ascii="Traditional Arabic" w:hAnsi="Traditional Arabic" w:cs="Traditional Arabic"/>
          <w:sz w:val="28"/>
          <w:szCs w:val="28"/>
          <w:highlight w:val="yellow"/>
          <w:rtl/>
        </w:rPr>
        <w:t>تانغ، روزي. (2008). نقد ورأي: مدخل شامل إلى النظريات النسوية (ترجمة: منى نجم العراقي). طهران: نشر ني</w:t>
      </w:r>
      <w:r w:rsidRPr="00903281">
        <w:rPr>
          <w:rFonts w:ascii="Traditional Arabic" w:hAnsi="Traditional Arabic" w:cs="Traditional Arabic"/>
          <w:sz w:val="28"/>
          <w:szCs w:val="28"/>
          <w:highlight w:val="yellow"/>
        </w:rPr>
        <w:t>.</w:t>
      </w:r>
    </w:p>
    <w:p w14:paraId="28BF2DB0" w14:textId="77777777" w:rsidR="002E6E11" w:rsidRPr="00903281" w:rsidRDefault="002E6E11" w:rsidP="002E6E11">
      <w:pPr>
        <w:bidi/>
        <w:jc w:val="both"/>
        <w:rPr>
          <w:rFonts w:ascii="Traditional Arabic" w:hAnsi="Traditional Arabic" w:cs="Traditional Arabic"/>
          <w:sz w:val="28"/>
          <w:szCs w:val="28"/>
          <w:highlight w:val="yellow"/>
          <w:rtl/>
        </w:rPr>
      </w:pPr>
      <w:r w:rsidRPr="00903281">
        <w:rPr>
          <w:rFonts w:ascii="Traditional Arabic" w:hAnsi="Traditional Arabic" w:cs="Traditional Arabic"/>
          <w:sz w:val="28"/>
          <w:szCs w:val="28"/>
          <w:highlight w:val="yellow"/>
          <w:rtl/>
        </w:rPr>
        <w:t>تايسون، لويس. (2013). نظريات النقد الأدبي (ترجمة: محمد حسين زاده وفاطمة حسيني، الطبعة الثانية). طهران: نگاه امروز</w:t>
      </w:r>
      <w:r w:rsidRPr="00903281">
        <w:rPr>
          <w:rFonts w:ascii="Traditional Arabic" w:hAnsi="Traditional Arabic" w:cs="Traditional Arabic"/>
          <w:sz w:val="28"/>
          <w:szCs w:val="28"/>
          <w:highlight w:val="yellow"/>
        </w:rPr>
        <w:t>.</w:t>
      </w:r>
    </w:p>
    <w:p w14:paraId="494887B0" w14:textId="77777777" w:rsidR="002E6E11" w:rsidRPr="00903281" w:rsidRDefault="002E6E11" w:rsidP="002E6E11">
      <w:pPr>
        <w:bidi/>
        <w:jc w:val="both"/>
        <w:rPr>
          <w:rFonts w:ascii="Traditional Arabic" w:hAnsi="Traditional Arabic" w:cs="Traditional Arabic"/>
          <w:sz w:val="28"/>
          <w:szCs w:val="28"/>
          <w:highlight w:val="yellow"/>
          <w:rtl/>
        </w:rPr>
      </w:pPr>
      <w:r w:rsidRPr="00903281">
        <w:rPr>
          <w:rFonts w:ascii="Traditional Arabic" w:hAnsi="Traditional Arabic" w:cs="Traditional Arabic"/>
          <w:sz w:val="28"/>
          <w:szCs w:val="28"/>
          <w:highlight w:val="yellow"/>
          <w:rtl/>
        </w:rPr>
        <w:t>حمد، هدى. (2016). سندريلات مسقط (الطبعة الأولى). بيروت: دار الآداب</w:t>
      </w:r>
      <w:r w:rsidRPr="00903281">
        <w:rPr>
          <w:rFonts w:ascii="Traditional Arabic" w:hAnsi="Traditional Arabic" w:cs="Traditional Arabic"/>
          <w:sz w:val="28"/>
          <w:szCs w:val="28"/>
          <w:highlight w:val="yellow"/>
        </w:rPr>
        <w:t>.</w:t>
      </w:r>
    </w:p>
    <w:p w14:paraId="7E8A411A" w14:textId="77777777" w:rsidR="002E6E11" w:rsidRPr="00903281" w:rsidRDefault="002E6E11" w:rsidP="002E6E11">
      <w:pPr>
        <w:bidi/>
        <w:jc w:val="both"/>
        <w:rPr>
          <w:rFonts w:ascii="Traditional Arabic" w:hAnsi="Traditional Arabic" w:cs="Traditional Arabic"/>
          <w:sz w:val="28"/>
          <w:szCs w:val="28"/>
          <w:highlight w:val="yellow"/>
          <w:rtl/>
        </w:rPr>
      </w:pPr>
      <w:r w:rsidRPr="00903281">
        <w:rPr>
          <w:rFonts w:ascii="Traditional Arabic" w:hAnsi="Traditional Arabic" w:cs="Traditional Arabic"/>
          <w:sz w:val="28"/>
          <w:szCs w:val="28"/>
          <w:highlight w:val="yellow"/>
          <w:rtl/>
        </w:rPr>
        <w:t>الخطيب، بسام. (2005). نظرية الأدب النسوي: من النقد الحذاري إلى نقد الذات. دمشق: اتحاد الكتاب العرب</w:t>
      </w:r>
      <w:r w:rsidRPr="00903281">
        <w:rPr>
          <w:rFonts w:ascii="Traditional Arabic" w:hAnsi="Traditional Arabic" w:cs="Traditional Arabic"/>
          <w:sz w:val="28"/>
          <w:szCs w:val="28"/>
          <w:highlight w:val="yellow"/>
        </w:rPr>
        <w:t>.</w:t>
      </w:r>
    </w:p>
    <w:p w14:paraId="18F07E4E" w14:textId="77777777" w:rsidR="002E6E11" w:rsidRPr="00903281" w:rsidRDefault="002E6E11" w:rsidP="002E6E11">
      <w:pPr>
        <w:bidi/>
        <w:jc w:val="both"/>
        <w:rPr>
          <w:rFonts w:ascii="Traditional Arabic" w:hAnsi="Traditional Arabic" w:cs="Traditional Arabic"/>
          <w:sz w:val="28"/>
          <w:szCs w:val="28"/>
          <w:highlight w:val="yellow"/>
          <w:rtl/>
        </w:rPr>
      </w:pPr>
      <w:r w:rsidRPr="00903281">
        <w:rPr>
          <w:rFonts w:ascii="Traditional Arabic" w:hAnsi="Traditional Arabic" w:cs="Traditional Arabic"/>
          <w:sz w:val="28"/>
          <w:szCs w:val="28"/>
          <w:highlight w:val="yellow"/>
          <w:rtl/>
        </w:rPr>
        <w:t>رشيد بعلي، حنان. (2009). مدخل في نظرية النقد النسوي وما بعد النسوية، قراءة في سفر التكوين النسائي. بيروت: منشورات الاختلاف</w:t>
      </w:r>
      <w:r w:rsidRPr="00903281">
        <w:rPr>
          <w:rFonts w:ascii="Traditional Arabic" w:hAnsi="Traditional Arabic" w:cs="Traditional Arabic"/>
          <w:sz w:val="28"/>
          <w:szCs w:val="28"/>
          <w:highlight w:val="yellow"/>
        </w:rPr>
        <w:t>.</w:t>
      </w:r>
    </w:p>
    <w:p w14:paraId="5D2A338D" w14:textId="77777777" w:rsidR="002E6E11" w:rsidRPr="00903281" w:rsidRDefault="002E6E11" w:rsidP="002E6E11">
      <w:pPr>
        <w:bidi/>
        <w:jc w:val="both"/>
        <w:rPr>
          <w:rFonts w:ascii="Traditional Arabic" w:hAnsi="Traditional Arabic" w:cs="Traditional Arabic"/>
          <w:sz w:val="28"/>
          <w:szCs w:val="28"/>
          <w:highlight w:val="yellow"/>
          <w:rtl/>
        </w:rPr>
      </w:pPr>
      <w:r w:rsidRPr="00903281">
        <w:rPr>
          <w:rFonts w:ascii="Traditional Arabic" w:hAnsi="Traditional Arabic" w:cs="Traditional Arabic"/>
          <w:sz w:val="28"/>
          <w:szCs w:val="28"/>
          <w:highlight w:val="yellow"/>
          <w:rtl/>
        </w:rPr>
        <w:t>روبنز، روث. (2010). النسويات الأدبية. طهران: خانه كتاب</w:t>
      </w:r>
      <w:r w:rsidRPr="00903281">
        <w:rPr>
          <w:rFonts w:ascii="Traditional Arabic" w:hAnsi="Traditional Arabic" w:cs="Traditional Arabic"/>
          <w:sz w:val="28"/>
          <w:szCs w:val="28"/>
          <w:highlight w:val="yellow"/>
        </w:rPr>
        <w:t>.</w:t>
      </w:r>
    </w:p>
    <w:p w14:paraId="3708916C" w14:textId="77777777" w:rsidR="002E6E11" w:rsidRPr="00903281" w:rsidRDefault="002E6E11" w:rsidP="002E6E11">
      <w:pPr>
        <w:bidi/>
        <w:jc w:val="both"/>
        <w:rPr>
          <w:rFonts w:ascii="Traditional Arabic" w:hAnsi="Traditional Arabic" w:cs="Traditional Arabic"/>
          <w:sz w:val="28"/>
          <w:szCs w:val="28"/>
          <w:highlight w:val="yellow"/>
          <w:rtl/>
        </w:rPr>
      </w:pPr>
      <w:r w:rsidRPr="00903281">
        <w:rPr>
          <w:rFonts w:ascii="Traditional Arabic" w:hAnsi="Traditional Arabic" w:cs="Traditional Arabic"/>
          <w:sz w:val="28"/>
          <w:szCs w:val="28"/>
          <w:highlight w:val="yellow"/>
          <w:rtl/>
        </w:rPr>
        <w:t>كمال، هالة. (2015). النقد الأدبي النسوي (الطبعة الأولى). القاهرة: مؤسسة المرأة والذاكرة</w:t>
      </w:r>
      <w:r w:rsidRPr="00903281">
        <w:rPr>
          <w:rFonts w:ascii="Traditional Arabic" w:hAnsi="Traditional Arabic" w:cs="Traditional Arabic"/>
          <w:sz w:val="28"/>
          <w:szCs w:val="28"/>
          <w:highlight w:val="yellow"/>
        </w:rPr>
        <w:t>.</w:t>
      </w:r>
    </w:p>
    <w:p w14:paraId="5EBFB6F9" w14:textId="77777777" w:rsidR="002E6E11" w:rsidRPr="006C4E5A" w:rsidRDefault="002E6E11" w:rsidP="002E6E11">
      <w:pPr>
        <w:bidi/>
        <w:jc w:val="both"/>
        <w:rPr>
          <w:rFonts w:ascii="Traditional Arabic" w:hAnsi="Traditional Arabic" w:cs="Traditional Arabic"/>
          <w:sz w:val="28"/>
          <w:szCs w:val="28"/>
          <w:highlight w:val="yellow"/>
          <w:rtl/>
        </w:rPr>
      </w:pPr>
      <w:r w:rsidRPr="006C4E5A">
        <w:rPr>
          <w:rFonts w:ascii="Traditional Arabic" w:hAnsi="Traditional Arabic" w:cs="Traditional Arabic"/>
          <w:sz w:val="28"/>
          <w:szCs w:val="28"/>
          <w:highlight w:val="yellow"/>
          <w:rtl/>
        </w:rPr>
        <w:t>السعداوي، نوال. (1990). دراسات عن المرأة والرجل في المجتمع العربي. بيروت: المؤسسة العربية للدراسات والنشر. الطبعة الثانية.</w:t>
      </w:r>
    </w:p>
    <w:p w14:paraId="7BDB4705" w14:textId="77777777" w:rsidR="002E6E11" w:rsidRPr="00CC5C10" w:rsidRDefault="002E6E11" w:rsidP="002E6E11">
      <w:pPr>
        <w:bidi/>
        <w:jc w:val="both"/>
        <w:rPr>
          <w:rFonts w:ascii="Traditional Arabic" w:hAnsi="Traditional Arabic" w:cs="Traditional Arabic"/>
          <w:sz w:val="28"/>
          <w:szCs w:val="28"/>
          <w:rtl/>
        </w:rPr>
      </w:pPr>
      <w:r w:rsidRPr="00CC5C10">
        <w:rPr>
          <w:rFonts w:ascii="Traditional Arabic" w:hAnsi="Traditional Arabic" w:cs="Traditional Arabic"/>
          <w:sz w:val="28"/>
          <w:szCs w:val="28"/>
          <w:highlight w:val="yellow"/>
          <w:rtl/>
        </w:rPr>
        <w:t>صيادي</w:t>
      </w:r>
      <w:r w:rsidRPr="00CC5C10">
        <w:rPr>
          <w:rFonts w:ascii="Traditional Arabic" w:hAnsi="Traditional Arabic" w:cs="Traditional Arabic" w:hint="cs"/>
          <w:sz w:val="28"/>
          <w:szCs w:val="28"/>
          <w:highlight w:val="yellow"/>
          <w:rtl/>
        </w:rPr>
        <w:t>‌نجاد</w:t>
      </w:r>
      <w:r w:rsidRPr="00CC5C10">
        <w:rPr>
          <w:rFonts w:ascii="Traditional Arabic" w:hAnsi="Traditional Arabic" w:cs="Traditional Arabic"/>
          <w:sz w:val="28"/>
          <w:szCs w:val="28"/>
          <w:highlight w:val="yellow"/>
          <w:rtl/>
        </w:rPr>
        <w:t xml:space="preserve">، روح الله. (1395 هـ.ش/2016 م). دراسة مكانة المرأة العربية من الناحيتين الاجتماعية والثقافية في هياكل اللغة العربية وطبقاتها الشكلية. مجلة الأدب العربي، </w:t>
      </w:r>
      <w:r w:rsidRPr="00CC5C10">
        <w:rPr>
          <w:rFonts w:ascii="Traditional Arabic" w:hAnsi="Traditional Arabic" w:cs="Traditional Arabic" w:hint="cs"/>
          <w:sz w:val="28"/>
          <w:szCs w:val="28"/>
          <w:highlight w:val="yellow"/>
          <w:rtl/>
        </w:rPr>
        <w:t>8(1</w:t>
      </w:r>
      <w:r w:rsidRPr="00CC5C10">
        <w:rPr>
          <w:rFonts w:ascii="Traditional Arabic" w:hAnsi="Traditional Arabic" w:cs="Traditional Arabic"/>
          <w:sz w:val="28"/>
          <w:szCs w:val="28"/>
          <w:highlight w:val="yellow"/>
          <w:rtl/>
        </w:rPr>
        <w:t>)، 221–240.</w:t>
      </w:r>
    </w:p>
    <w:p w14:paraId="26407F7B" w14:textId="77777777" w:rsidR="002E6E11" w:rsidRDefault="002E6E11" w:rsidP="002E6E11">
      <w:pPr>
        <w:bidi/>
        <w:jc w:val="both"/>
        <w:rPr>
          <w:rFonts w:ascii="Traditional Arabic" w:hAnsi="Traditional Arabic" w:cs="Traditional Arabic"/>
          <w:sz w:val="28"/>
          <w:szCs w:val="28"/>
          <w:highlight w:val="yellow"/>
          <w:rtl/>
        </w:rPr>
      </w:pPr>
      <w:r w:rsidRPr="00903281">
        <w:rPr>
          <w:rFonts w:ascii="Traditional Arabic" w:hAnsi="Traditional Arabic" w:cs="Traditional Arabic"/>
          <w:sz w:val="28"/>
          <w:szCs w:val="28"/>
          <w:highlight w:val="yellow"/>
          <w:rtl/>
        </w:rPr>
        <w:t>موران، برنار. (2009). نظريات الأدب والنقد (ترجمة: نرجس داوران). طهران: نگاه</w:t>
      </w:r>
      <w:r w:rsidRPr="00903281">
        <w:rPr>
          <w:rFonts w:ascii="Traditional Arabic" w:hAnsi="Traditional Arabic" w:cs="Traditional Arabic"/>
          <w:sz w:val="28"/>
          <w:szCs w:val="28"/>
          <w:highlight w:val="yellow"/>
        </w:rPr>
        <w:t>.</w:t>
      </w:r>
    </w:p>
    <w:p w14:paraId="1367647B" w14:textId="77777777" w:rsidR="002E6E11" w:rsidRPr="00285956" w:rsidRDefault="002E6E11" w:rsidP="002E6E11">
      <w:pPr>
        <w:bidi/>
        <w:jc w:val="both"/>
        <w:rPr>
          <w:rFonts w:ascii="Traditional Arabic" w:hAnsi="Traditional Arabic" w:cs="Traditional Arabic"/>
          <w:sz w:val="28"/>
          <w:szCs w:val="28"/>
          <w:highlight w:val="yellow"/>
          <w:rtl/>
        </w:rPr>
      </w:pPr>
      <w:r w:rsidRPr="00285956">
        <w:rPr>
          <w:rFonts w:ascii="Traditional Arabic" w:hAnsi="Traditional Arabic" w:cs="Traditional Arabic"/>
          <w:sz w:val="28"/>
          <w:szCs w:val="28"/>
          <w:highlight w:val="yellow"/>
          <w:rtl/>
        </w:rPr>
        <w:t>النبلاوي، عايدة فؤاد، والهاشمي، سلطان بن محمد. (2009). تقرير مشروع الدراسة المسحية للمشروعات الاجتماعية الموجهة للنهوض بالمرأة العمانية. القاهرة: منظمة المرأة العربية.</w:t>
      </w:r>
    </w:p>
    <w:p w14:paraId="00869183" w14:textId="77777777" w:rsidR="002E6E11" w:rsidRPr="00903281" w:rsidRDefault="002E6E11" w:rsidP="002E6E11">
      <w:pPr>
        <w:bidi/>
        <w:jc w:val="both"/>
        <w:rPr>
          <w:rFonts w:ascii="Traditional Arabic" w:hAnsi="Traditional Arabic" w:cs="Traditional Arabic"/>
          <w:sz w:val="28"/>
          <w:szCs w:val="28"/>
          <w:rtl/>
        </w:rPr>
      </w:pPr>
      <w:r w:rsidRPr="00903281">
        <w:rPr>
          <w:rFonts w:ascii="Traditional Arabic" w:hAnsi="Traditional Arabic" w:cs="Traditional Arabic"/>
          <w:sz w:val="28"/>
          <w:szCs w:val="28"/>
          <w:highlight w:val="yellow"/>
          <w:rtl/>
        </w:rPr>
        <w:t>وارهول، روبن آر. (2012). السرديات النسوية (ترجمة: نهى السادات موسوي)، في: موسوعة السرديات. طهران: علم</w:t>
      </w:r>
      <w:r w:rsidRPr="00903281">
        <w:rPr>
          <w:rFonts w:ascii="Traditional Arabic" w:hAnsi="Traditional Arabic" w:cs="Traditional Arabic"/>
          <w:sz w:val="28"/>
          <w:szCs w:val="28"/>
          <w:highlight w:val="yellow"/>
        </w:rPr>
        <w:t>.</w:t>
      </w:r>
    </w:p>
    <w:p w14:paraId="4589055D" w14:textId="77777777" w:rsidR="002E6E11" w:rsidRPr="00D65BBC" w:rsidRDefault="002E6E11" w:rsidP="002E6E11">
      <w:pPr>
        <w:bidi/>
        <w:rPr>
          <w:rFonts w:ascii="Traditional Arabic" w:hAnsi="Traditional Arabic" w:cs="Traditional Arabic"/>
          <w:b/>
          <w:bCs/>
          <w:sz w:val="28"/>
          <w:szCs w:val="28"/>
        </w:rPr>
      </w:pPr>
      <w:r w:rsidRPr="00D65BBC">
        <w:rPr>
          <w:rFonts w:ascii="Traditional Arabic" w:hAnsi="Traditional Arabic" w:cs="Traditional Arabic"/>
          <w:b/>
          <w:bCs/>
          <w:sz w:val="28"/>
          <w:szCs w:val="28"/>
          <w:rtl/>
        </w:rPr>
        <w:t>باللغات الأجنبية (الإنجليزية والفرنسية)</w:t>
      </w:r>
    </w:p>
    <w:p w14:paraId="349F9229" w14:textId="77777777" w:rsidR="002E6E11" w:rsidRPr="00903281" w:rsidRDefault="002E6E11" w:rsidP="002E6E11">
      <w:pPr>
        <w:pStyle w:val="ds-markdown-paragraph"/>
        <w:shd w:val="clear" w:color="auto" w:fill="FFFFFF"/>
        <w:spacing w:before="240" w:after="240"/>
        <w:jc w:val="both"/>
        <w:rPr>
          <w:rFonts w:ascii="Traditional Arabic" w:eastAsiaTheme="minorHAnsi" w:hAnsi="Traditional Arabic" w:cs="Traditional Arabic"/>
          <w:kern w:val="2"/>
          <w:sz w:val="28"/>
          <w:szCs w:val="28"/>
          <w:highlight w:val="yellow"/>
          <w14:ligatures w14:val="standardContextual"/>
        </w:rPr>
      </w:pPr>
      <w:proofErr w:type="spellStart"/>
      <w:r w:rsidRPr="00903281">
        <w:rPr>
          <w:rFonts w:ascii="Traditional Arabic" w:eastAsiaTheme="minorHAnsi" w:hAnsi="Traditional Arabic" w:cs="Traditional Arabic"/>
          <w:kern w:val="2"/>
          <w:sz w:val="28"/>
          <w:szCs w:val="28"/>
          <w:highlight w:val="yellow"/>
          <w14:ligatures w14:val="standardContextual"/>
        </w:rPr>
        <w:t>Felski</w:t>
      </w:r>
      <w:proofErr w:type="spellEnd"/>
      <w:r w:rsidRPr="00903281">
        <w:rPr>
          <w:rFonts w:ascii="Traditional Arabic" w:eastAsiaTheme="minorHAnsi" w:hAnsi="Traditional Arabic" w:cs="Traditional Arabic"/>
          <w:kern w:val="2"/>
          <w:sz w:val="28"/>
          <w:szCs w:val="28"/>
          <w:highlight w:val="yellow"/>
          <w14:ligatures w14:val="standardContextual"/>
        </w:rPr>
        <w:t>, R. (1989). Beyond Feminist Aesthetics: Feminist Literature and Social Change. Cambridge: Harvard University Press.</w:t>
      </w:r>
    </w:p>
    <w:p w14:paraId="68B6F7DF" w14:textId="77777777" w:rsidR="002E6E11" w:rsidRPr="00903281" w:rsidRDefault="002E6E11" w:rsidP="002E6E11">
      <w:pPr>
        <w:pStyle w:val="ds-markdown-paragraph"/>
        <w:shd w:val="clear" w:color="auto" w:fill="FFFFFF"/>
        <w:spacing w:before="240" w:after="240"/>
        <w:jc w:val="both"/>
        <w:rPr>
          <w:rFonts w:ascii="Traditional Arabic" w:eastAsiaTheme="minorHAnsi" w:hAnsi="Traditional Arabic" w:cs="Traditional Arabic"/>
          <w:kern w:val="2"/>
          <w:sz w:val="28"/>
          <w:szCs w:val="28"/>
          <w:highlight w:val="yellow"/>
          <w14:ligatures w14:val="standardContextual"/>
        </w:rPr>
      </w:pPr>
      <w:proofErr w:type="spellStart"/>
      <w:r w:rsidRPr="00903281">
        <w:rPr>
          <w:rFonts w:ascii="Traditional Arabic" w:eastAsiaTheme="minorHAnsi" w:hAnsi="Traditional Arabic" w:cs="Traditional Arabic"/>
          <w:kern w:val="2"/>
          <w:sz w:val="28"/>
          <w:szCs w:val="28"/>
          <w:highlight w:val="yellow"/>
          <w14:ligatures w14:val="standardContextual"/>
        </w:rPr>
        <w:lastRenderedPageBreak/>
        <w:t>Irigaray</w:t>
      </w:r>
      <w:proofErr w:type="spellEnd"/>
      <w:r w:rsidRPr="00903281">
        <w:rPr>
          <w:rFonts w:ascii="Traditional Arabic" w:eastAsiaTheme="minorHAnsi" w:hAnsi="Traditional Arabic" w:cs="Traditional Arabic"/>
          <w:kern w:val="2"/>
          <w:sz w:val="28"/>
          <w:szCs w:val="28"/>
          <w:highlight w:val="yellow"/>
          <w14:ligatures w14:val="standardContextual"/>
        </w:rPr>
        <w:t>, L. (1985). This Sex Which Is Not One. (C. Porter, Trans.). Ithaca: Cornell University Press.</w:t>
      </w:r>
    </w:p>
    <w:p w14:paraId="4E502311" w14:textId="77777777" w:rsidR="002E6E11" w:rsidRPr="00903281" w:rsidRDefault="002E6E11" w:rsidP="002E6E11">
      <w:pPr>
        <w:pStyle w:val="ds-markdown-paragraph"/>
        <w:shd w:val="clear" w:color="auto" w:fill="FFFFFF"/>
        <w:spacing w:before="240" w:after="240"/>
        <w:jc w:val="both"/>
        <w:rPr>
          <w:rFonts w:ascii="Traditional Arabic" w:eastAsiaTheme="minorHAnsi" w:hAnsi="Traditional Arabic" w:cs="Traditional Arabic"/>
          <w:kern w:val="2"/>
          <w:sz w:val="28"/>
          <w:szCs w:val="28"/>
          <w:highlight w:val="yellow"/>
          <w14:ligatures w14:val="standardContextual"/>
        </w:rPr>
      </w:pPr>
      <w:r w:rsidRPr="00903281">
        <w:rPr>
          <w:rFonts w:ascii="Traditional Arabic" w:eastAsiaTheme="minorHAnsi" w:hAnsi="Traditional Arabic" w:cs="Traditional Arabic"/>
          <w:kern w:val="2"/>
          <w:sz w:val="28"/>
          <w:szCs w:val="28"/>
          <w:highlight w:val="yellow"/>
          <w14:ligatures w14:val="standardContextual"/>
        </w:rPr>
        <w:t>Showalter, E. (1977). A Literature of Their Own: British Women Novelists from Bronte to Lessing. New Jersey: Princeton University Press.</w:t>
      </w:r>
    </w:p>
    <w:p w14:paraId="735E2315" w14:textId="77777777" w:rsidR="002E6E11" w:rsidRDefault="002E6E11" w:rsidP="002E6E11">
      <w:pPr>
        <w:pStyle w:val="ds-markdown-paragraph"/>
        <w:shd w:val="clear" w:color="auto" w:fill="FFFFFF"/>
        <w:spacing w:before="240" w:beforeAutospacing="0" w:after="240" w:afterAutospacing="0"/>
        <w:jc w:val="both"/>
        <w:rPr>
          <w:rStyle w:val="Strong"/>
          <w:rFonts w:ascii="Traditional Arabic" w:eastAsiaTheme="minorHAnsi" w:hAnsi="Traditional Arabic" w:cs="Traditional Arabic"/>
          <w:color w:val="0F1115"/>
          <w:kern w:val="2"/>
          <w:sz w:val="28"/>
          <w:szCs w:val="28"/>
          <w:rtl/>
          <w14:ligatures w14:val="standardContextual"/>
        </w:rPr>
      </w:pPr>
      <w:r w:rsidRPr="00903281">
        <w:rPr>
          <w:rFonts w:ascii="Traditional Arabic" w:eastAsiaTheme="minorHAnsi" w:hAnsi="Traditional Arabic" w:cs="Traditional Arabic"/>
          <w:kern w:val="2"/>
          <w:sz w:val="28"/>
          <w:szCs w:val="28"/>
          <w:highlight w:val="yellow"/>
          <w14:ligatures w14:val="standardContextual"/>
        </w:rPr>
        <w:t>Showalter, E. (1978). Towards A Feminist Poetics. In Women Writing and Writing about Women (pp. 22-41). London: Croom Helm.</w:t>
      </w:r>
      <w:r w:rsidRPr="00903281">
        <w:rPr>
          <w:rStyle w:val="Strong"/>
          <w:rFonts w:ascii="Traditional Arabic" w:eastAsiaTheme="minorHAnsi" w:hAnsi="Traditional Arabic" w:cs="Traditional Arabic"/>
          <w:color w:val="0F1115"/>
          <w:kern w:val="2"/>
          <w:sz w:val="28"/>
          <w:szCs w:val="28"/>
          <w14:ligatures w14:val="standardContextual"/>
        </w:rPr>
        <w:t xml:space="preserve"> </w:t>
      </w:r>
    </w:p>
    <w:p w14:paraId="7D74C9A5"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r>
        <w:rPr>
          <w:rStyle w:val="Strong"/>
          <w:rFonts w:ascii="Segoe UI" w:eastAsiaTheme="majorEastAsia" w:hAnsi="Segoe UI" w:cs="Segoe UI"/>
          <w:color w:val="0F1115"/>
        </w:rPr>
        <w:t>References</w:t>
      </w:r>
    </w:p>
    <w:p w14:paraId="0468CA3D"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r>
        <w:rPr>
          <w:rFonts w:ascii="Segoe UI" w:hAnsi="Segoe UI" w:cs="Segoe UI"/>
          <w:color w:val="0F1115"/>
        </w:rPr>
        <w:t>Abu Ali, H. R. (2009). </w:t>
      </w:r>
      <w:r>
        <w:rPr>
          <w:rStyle w:val="Emphasis"/>
          <w:rFonts w:ascii="Segoe UI" w:eastAsiaTheme="majorEastAsia" w:hAnsi="Segoe UI" w:cs="Segoe UI"/>
          <w:color w:val="0F1115"/>
        </w:rPr>
        <w:t>An introduction to feminist and post-feminist criticism theory: A reading in the feminine genesis</w:t>
      </w:r>
      <w:r>
        <w:rPr>
          <w:rFonts w:ascii="Segoe UI" w:hAnsi="Segoe UI" w:cs="Segoe UI"/>
          <w:color w:val="0F1115"/>
        </w:rPr>
        <w:t>. Beirut: Al-</w:t>
      </w:r>
      <w:proofErr w:type="spellStart"/>
      <w:r>
        <w:rPr>
          <w:rFonts w:ascii="Segoe UI" w:hAnsi="Segoe UI" w:cs="Segoe UI"/>
          <w:color w:val="0F1115"/>
        </w:rPr>
        <w:t>Ikhtilaf</w:t>
      </w:r>
      <w:proofErr w:type="spellEnd"/>
      <w:r>
        <w:rPr>
          <w:rFonts w:ascii="Segoe UI" w:hAnsi="Segoe UI" w:cs="Segoe UI"/>
          <w:color w:val="0F1115"/>
        </w:rPr>
        <w:t xml:space="preserve"> Publications. </w:t>
      </w:r>
    </w:p>
    <w:p w14:paraId="43232D0C"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r>
        <w:rPr>
          <w:rFonts w:ascii="Segoe UI" w:hAnsi="Segoe UI" w:cs="Segoe UI"/>
          <w:color w:val="0F1115"/>
        </w:rPr>
        <w:t>Al-Khatib, B. (2005). </w:t>
      </w:r>
      <w:r>
        <w:rPr>
          <w:rStyle w:val="Emphasis"/>
          <w:rFonts w:ascii="Segoe UI" w:eastAsiaTheme="majorEastAsia" w:hAnsi="Segoe UI" w:cs="Segoe UI"/>
          <w:color w:val="0F1115"/>
        </w:rPr>
        <w:t>Feminist literary theory: From cautionary criticism to self-criticism</w:t>
      </w:r>
      <w:r>
        <w:rPr>
          <w:rFonts w:ascii="Segoe UI" w:hAnsi="Segoe UI" w:cs="Segoe UI"/>
          <w:color w:val="0F1115"/>
        </w:rPr>
        <w:t>. Damascus: Arab Writers Union</w:t>
      </w:r>
      <w:r>
        <w:rPr>
          <w:rFonts w:ascii="Segoe UI" w:hAnsi="Segoe UI" w:cs="Segoe UI" w:hint="cs"/>
          <w:color w:val="0F1115"/>
          <w:rtl/>
        </w:rPr>
        <w:t>.</w:t>
      </w:r>
    </w:p>
    <w:p w14:paraId="3784099D"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r>
        <w:rPr>
          <w:rFonts w:ascii="Segoe UI" w:hAnsi="Segoe UI" w:cs="Segoe UI"/>
          <w:color w:val="0F1115"/>
        </w:rPr>
        <w:t>De Beauvoir, S. (2000). </w:t>
      </w:r>
      <w:r>
        <w:rPr>
          <w:rStyle w:val="Emphasis"/>
          <w:rFonts w:ascii="Segoe UI" w:eastAsiaTheme="majorEastAsia" w:hAnsi="Segoe UI" w:cs="Segoe UI"/>
          <w:color w:val="0F1115"/>
        </w:rPr>
        <w:t>The second sex</w:t>
      </w:r>
      <w:r>
        <w:rPr>
          <w:rFonts w:ascii="Segoe UI" w:hAnsi="Segoe UI" w:cs="Segoe UI"/>
          <w:color w:val="0F1115"/>
        </w:rPr>
        <w:t xml:space="preserve"> (J. </w:t>
      </w:r>
      <w:proofErr w:type="spellStart"/>
      <w:r>
        <w:rPr>
          <w:rFonts w:ascii="Segoe UI" w:hAnsi="Segoe UI" w:cs="Segoe UI"/>
          <w:color w:val="0F1115"/>
        </w:rPr>
        <w:t>Sanaei</w:t>
      </w:r>
      <w:proofErr w:type="spellEnd"/>
      <w:r>
        <w:rPr>
          <w:rFonts w:ascii="Segoe UI" w:hAnsi="Segoe UI" w:cs="Segoe UI"/>
          <w:color w:val="0F1115"/>
        </w:rPr>
        <w:t xml:space="preserve">, Trans., 7th ed.). Tehran: </w:t>
      </w:r>
      <w:proofErr w:type="spellStart"/>
      <w:r>
        <w:rPr>
          <w:rFonts w:ascii="Segoe UI" w:hAnsi="Segoe UI" w:cs="Segoe UI"/>
          <w:color w:val="0F1115"/>
        </w:rPr>
        <w:t>Tos</w:t>
      </w:r>
      <w:proofErr w:type="spellEnd"/>
      <w:r>
        <w:rPr>
          <w:rFonts w:ascii="Segoe UI" w:hAnsi="Segoe UI" w:cs="Segoe UI" w:hint="cs"/>
          <w:color w:val="0F1115"/>
          <w:rtl/>
        </w:rPr>
        <w:t>.</w:t>
      </w:r>
    </w:p>
    <w:p w14:paraId="5F71A739"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proofErr w:type="spellStart"/>
      <w:r>
        <w:rPr>
          <w:rFonts w:ascii="Segoe UI" w:hAnsi="Segoe UI" w:cs="Segoe UI"/>
          <w:color w:val="0F1115"/>
        </w:rPr>
        <w:t>Felski</w:t>
      </w:r>
      <w:proofErr w:type="spellEnd"/>
      <w:r>
        <w:rPr>
          <w:rFonts w:ascii="Segoe UI" w:hAnsi="Segoe UI" w:cs="Segoe UI"/>
          <w:color w:val="0F1115"/>
        </w:rPr>
        <w:t>, R. (1989). </w:t>
      </w:r>
      <w:r>
        <w:rPr>
          <w:rStyle w:val="Emphasis"/>
          <w:rFonts w:ascii="Segoe UI" w:eastAsiaTheme="majorEastAsia" w:hAnsi="Segoe UI" w:cs="Segoe UI"/>
          <w:color w:val="0F1115"/>
        </w:rPr>
        <w:t>Beyond feminist aesthetics: Feminist literature and social change</w:t>
      </w:r>
      <w:r>
        <w:rPr>
          <w:rFonts w:ascii="Segoe UI" w:hAnsi="Segoe UI" w:cs="Segoe UI"/>
          <w:color w:val="0F1115"/>
        </w:rPr>
        <w:t>. Cambridge: Harvard University Press.</w:t>
      </w:r>
    </w:p>
    <w:p w14:paraId="262911B9"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r>
        <w:rPr>
          <w:rFonts w:ascii="Segoe UI" w:hAnsi="Segoe UI" w:cs="Segoe UI"/>
          <w:color w:val="0F1115"/>
        </w:rPr>
        <w:t>Hamad, H. (2016). </w:t>
      </w:r>
      <w:proofErr w:type="spellStart"/>
      <w:r>
        <w:rPr>
          <w:rStyle w:val="Emphasis"/>
          <w:rFonts w:ascii="Segoe UI" w:eastAsiaTheme="majorEastAsia" w:hAnsi="Segoe UI" w:cs="Segoe UI"/>
          <w:color w:val="0F1115"/>
        </w:rPr>
        <w:t>Cinderellat</w:t>
      </w:r>
      <w:proofErr w:type="spellEnd"/>
      <w:r>
        <w:rPr>
          <w:rStyle w:val="Emphasis"/>
          <w:rFonts w:ascii="Segoe UI" w:eastAsiaTheme="majorEastAsia" w:hAnsi="Segoe UI" w:cs="Segoe UI"/>
          <w:color w:val="0F1115"/>
        </w:rPr>
        <w:t xml:space="preserve"> Muscat</w:t>
      </w:r>
      <w:r>
        <w:rPr>
          <w:rFonts w:ascii="Segoe UI" w:hAnsi="Segoe UI" w:cs="Segoe UI"/>
          <w:color w:val="0F1115"/>
        </w:rPr>
        <w:t> (1st ed.). Beirut: Dar Al-</w:t>
      </w:r>
      <w:proofErr w:type="spellStart"/>
      <w:r>
        <w:rPr>
          <w:rFonts w:ascii="Segoe UI" w:hAnsi="Segoe UI" w:cs="Segoe UI"/>
          <w:color w:val="0F1115"/>
        </w:rPr>
        <w:t>Adab</w:t>
      </w:r>
      <w:proofErr w:type="spellEnd"/>
      <w:r>
        <w:rPr>
          <w:rFonts w:ascii="Segoe UI" w:hAnsi="Segoe UI" w:cs="Segoe UI"/>
          <w:color w:val="0F1115"/>
        </w:rPr>
        <w:t xml:space="preserve">. </w:t>
      </w:r>
    </w:p>
    <w:p w14:paraId="10999BC9"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proofErr w:type="spellStart"/>
      <w:r>
        <w:rPr>
          <w:rFonts w:ascii="Segoe UI" w:hAnsi="Segoe UI" w:cs="Segoe UI"/>
          <w:color w:val="0F1115"/>
        </w:rPr>
        <w:t>Irigaray</w:t>
      </w:r>
      <w:proofErr w:type="spellEnd"/>
      <w:r>
        <w:rPr>
          <w:rFonts w:ascii="Segoe UI" w:hAnsi="Segoe UI" w:cs="Segoe UI"/>
          <w:color w:val="0F1115"/>
        </w:rPr>
        <w:t>, L. (1985). </w:t>
      </w:r>
      <w:r>
        <w:rPr>
          <w:rStyle w:val="Emphasis"/>
          <w:rFonts w:ascii="Segoe UI" w:eastAsiaTheme="majorEastAsia" w:hAnsi="Segoe UI" w:cs="Segoe UI"/>
          <w:color w:val="0F1115"/>
        </w:rPr>
        <w:t>This sex which is not one</w:t>
      </w:r>
      <w:r>
        <w:rPr>
          <w:rFonts w:ascii="Segoe UI" w:hAnsi="Segoe UI" w:cs="Segoe UI"/>
          <w:color w:val="0F1115"/>
        </w:rPr>
        <w:t xml:space="preserve"> (C. Porter, Trans.). Ithaca: Cornell University Press. </w:t>
      </w:r>
    </w:p>
    <w:p w14:paraId="6FFA1C9F"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r>
        <w:rPr>
          <w:rFonts w:ascii="Segoe UI" w:hAnsi="Segoe UI" w:cs="Segoe UI"/>
          <w:color w:val="0F1115"/>
        </w:rPr>
        <w:t>Kamal, H. (2015). </w:t>
      </w:r>
      <w:r>
        <w:rPr>
          <w:rStyle w:val="Emphasis"/>
          <w:rFonts w:ascii="Segoe UI" w:eastAsiaTheme="majorEastAsia" w:hAnsi="Segoe UI" w:cs="Segoe UI"/>
          <w:color w:val="0F1115"/>
        </w:rPr>
        <w:t>Feminist literary criticism</w:t>
      </w:r>
      <w:r>
        <w:rPr>
          <w:rFonts w:ascii="Segoe UI" w:hAnsi="Segoe UI" w:cs="Segoe UI"/>
          <w:color w:val="0F1115"/>
        </w:rPr>
        <w:t xml:space="preserve"> (1st ed.). Cairo: The Women and Memory Forum. </w:t>
      </w:r>
    </w:p>
    <w:p w14:paraId="6928FF36"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r>
        <w:rPr>
          <w:rFonts w:ascii="Segoe UI" w:hAnsi="Segoe UI" w:cs="Segoe UI"/>
          <w:color w:val="0F1115"/>
        </w:rPr>
        <w:t>Moran, B. (2009). </w:t>
      </w:r>
      <w:r>
        <w:rPr>
          <w:rStyle w:val="Emphasis"/>
          <w:rFonts w:ascii="Segoe UI" w:eastAsiaTheme="majorEastAsia" w:hAnsi="Segoe UI" w:cs="Segoe UI"/>
          <w:color w:val="0F1115"/>
        </w:rPr>
        <w:t>Theories of literature and criticism</w:t>
      </w:r>
      <w:r>
        <w:rPr>
          <w:rFonts w:ascii="Segoe UI" w:hAnsi="Segoe UI" w:cs="Segoe UI"/>
          <w:color w:val="0F1115"/>
        </w:rPr>
        <w:t xml:space="preserve"> (N. </w:t>
      </w:r>
      <w:proofErr w:type="spellStart"/>
      <w:r>
        <w:rPr>
          <w:rFonts w:ascii="Segoe UI" w:hAnsi="Segoe UI" w:cs="Segoe UI"/>
          <w:color w:val="0F1115"/>
        </w:rPr>
        <w:t>Davaran</w:t>
      </w:r>
      <w:proofErr w:type="spellEnd"/>
      <w:r>
        <w:rPr>
          <w:rFonts w:ascii="Segoe UI" w:hAnsi="Segoe UI" w:cs="Segoe UI"/>
          <w:color w:val="0F1115"/>
        </w:rPr>
        <w:t xml:space="preserve">, Trans.). Tehran: </w:t>
      </w:r>
      <w:proofErr w:type="spellStart"/>
      <w:r>
        <w:rPr>
          <w:rFonts w:ascii="Segoe UI" w:hAnsi="Segoe UI" w:cs="Segoe UI"/>
          <w:color w:val="0F1115"/>
        </w:rPr>
        <w:t>Negah</w:t>
      </w:r>
      <w:proofErr w:type="spellEnd"/>
      <w:r>
        <w:rPr>
          <w:rFonts w:ascii="Segoe UI" w:hAnsi="Segoe UI" w:cs="Segoe UI"/>
          <w:color w:val="0F1115"/>
        </w:rPr>
        <w:t xml:space="preserve">. </w:t>
      </w:r>
    </w:p>
    <w:p w14:paraId="64D3B9C5"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r>
        <w:rPr>
          <w:rFonts w:ascii="Segoe UI" w:hAnsi="Segoe UI" w:cs="Segoe UI"/>
          <w:color w:val="0F1115"/>
        </w:rPr>
        <w:t>Robbins, R. (2010). </w:t>
      </w:r>
      <w:r>
        <w:rPr>
          <w:rStyle w:val="Emphasis"/>
          <w:rFonts w:ascii="Segoe UI" w:eastAsiaTheme="majorEastAsia" w:hAnsi="Segoe UI" w:cs="Segoe UI"/>
          <w:color w:val="0F1115"/>
        </w:rPr>
        <w:t>Literary feminisms</w:t>
      </w:r>
      <w:r>
        <w:rPr>
          <w:rFonts w:ascii="Segoe UI" w:hAnsi="Segoe UI" w:cs="Segoe UI"/>
          <w:color w:val="0F1115"/>
        </w:rPr>
        <w:t xml:space="preserve">. Tehran: </w:t>
      </w:r>
      <w:proofErr w:type="spellStart"/>
      <w:r>
        <w:rPr>
          <w:rFonts w:ascii="Segoe UI" w:hAnsi="Segoe UI" w:cs="Segoe UI"/>
          <w:color w:val="0F1115"/>
        </w:rPr>
        <w:t>Ketab</w:t>
      </w:r>
      <w:proofErr w:type="spellEnd"/>
      <w:r>
        <w:rPr>
          <w:rFonts w:ascii="Segoe UI" w:hAnsi="Segoe UI" w:cs="Segoe UI"/>
          <w:color w:val="0F1115"/>
        </w:rPr>
        <w:t xml:space="preserve"> </w:t>
      </w:r>
      <w:proofErr w:type="spellStart"/>
      <w:r>
        <w:rPr>
          <w:rFonts w:ascii="Segoe UI" w:hAnsi="Segoe UI" w:cs="Segoe UI"/>
          <w:color w:val="0F1115"/>
        </w:rPr>
        <w:t>Khane</w:t>
      </w:r>
      <w:proofErr w:type="spellEnd"/>
      <w:r>
        <w:rPr>
          <w:rFonts w:ascii="Segoe UI" w:hAnsi="Segoe UI" w:cs="Segoe UI" w:hint="cs"/>
          <w:color w:val="0F1115"/>
          <w:rtl/>
        </w:rPr>
        <w:t>.</w:t>
      </w:r>
    </w:p>
    <w:p w14:paraId="298A9DC6"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r>
        <w:rPr>
          <w:rFonts w:ascii="Segoe UI" w:hAnsi="Segoe UI" w:cs="Segoe UI"/>
          <w:color w:val="0F1115"/>
        </w:rPr>
        <w:t>Showalter, E. (1977). </w:t>
      </w:r>
      <w:r>
        <w:rPr>
          <w:rStyle w:val="Emphasis"/>
          <w:rFonts w:ascii="Segoe UI" w:eastAsiaTheme="majorEastAsia" w:hAnsi="Segoe UI" w:cs="Segoe UI"/>
          <w:color w:val="0F1115"/>
        </w:rPr>
        <w:t>A literature of their own: British women novelists from Brontë to Lessing</w:t>
      </w:r>
      <w:r>
        <w:rPr>
          <w:rFonts w:ascii="Segoe UI" w:hAnsi="Segoe UI" w:cs="Segoe UI"/>
          <w:color w:val="0F1115"/>
        </w:rPr>
        <w:t>. New Jersey: Princeton University Press.</w:t>
      </w:r>
    </w:p>
    <w:p w14:paraId="45D37B4A"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r>
        <w:rPr>
          <w:rFonts w:ascii="Segoe UI" w:hAnsi="Segoe UI" w:cs="Segoe UI"/>
          <w:color w:val="0F1115"/>
        </w:rPr>
        <w:t>Showalter, E. (1978). </w:t>
      </w:r>
      <w:r>
        <w:rPr>
          <w:rStyle w:val="Emphasis"/>
          <w:rFonts w:ascii="Segoe UI" w:eastAsiaTheme="majorEastAsia" w:hAnsi="Segoe UI" w:cs="Segoe UI"/>
          <w:color w:val="0F1115"/>
        </w:rPr>
        <w:t>Towards a feminist poetics</w:t>
      </w:r>
      <w:r>
        <w:rPr>
          <w:rFonts w:ascii="Segoe UI" w:hAnsi="Segoe UI" w:cs="Segoe UI"/>
          <w:color w:val="0F1115"/>
        </w:rPr>
        <w:t>. In </w:t>
      </w:r>
      <w:r>
        <w:rPr>
          <w:rStyle w:val="Emphasis"/>
          <w:rFonts w:ascii="Segoe UI" w:eastAsiaTheme="majorEastAsia" w:hAnsi="Segoe UI" w:cs="Segoe UI"/>
          <w:color w:val="0F1115"/>
        </w:rPr>
        <w:t>Women writing and writing about women</w:t>
      </w:r>
      <w:r>
        <w:rPr>
          <w:rFonts w:ascii="Segoe UI" w:hAnsi="Segoe UI" w:cs="Segoe UI"/>
          <w:color w:val="0F1115"/>
        </w:rPr>
        <w:t xml:space="preserve"> (pp. 22-41). London: Croom Helm. </w:t>
      </w:r>
    </w:p>
    <w:p w14:paraId="5D2D8EDD"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r>
        <w:rPr>
          <w:rFonts w:ascii="Segoe UI" w:hAnsi="Segoe UI" w:cs="Segoe UI"/>
          <w:color w:val="0F1115"/>
        </w:rPr>
        <w:t>Tang, R. (2008). </w:t>
      </w:r>
      <w:r>
        <w:rPr>
          <w:rStyle w:val="Emphasis"/>
          <w:rFonts w:ascii="Segoe UI" w:eastAsiaTheme="majorEastAsia" w:hAnsi="Segoe UI" w:cs="Segoe UI"/>
          <w:color w:val="0F1115"/>
        </w:rPr>
        <w:t>Critique and opinion: A comprehensive introduction to feminist theories</w:t>
      </w:r>
      <w:r>
        <w:rPr>
          <w:rFonts w:ascii="Segoe UI" w:hAnsi="Segoe UI" w:cs="Segoe UI"/>
          <w:color w:val="0F1115"/>
        </w:rPr>
        <w:t xml:space="preserve"> (M. </w:t>
      </w:r>
      <w:proofErr w:type="spellStart"/>
      <w:r>
        <w:rPr>
          <w:rFonts w:ascii="Segoe UI" w:hAnsi="Segoe UI" w:cs="Segoe UI"/>
          <w:color w:val="0F1115"/>
        </w:rPr>
        <w:t>Najm</w:t>
      </w:r>
      <w:proofErr w:type="spellEnd"/>
      <w:r>
        <w:rPr>
          <w:rFonts w:ascii="Segoe UI" w:hAnsi="Segoe UI" w:cs="Segoe UI"/>
          <w:color w:val="0F1115"/>
        </w:rPr>
        <w:t xml:space="preserve"> al-Iraqi, Trans.). Tehran: </w:t>
      </w:r>
      <w:proofErr w:type="spellStart"/>
      <w:r>
        <w:rPr>
          <w:rFonts w:ascii="Segoe UI" w:hAnsi="Segoe UI" w:cs="Segoe UI"/>
          <w:color w:val="0F1115"/>
        </w:rPr>
        <w:t>Nashr</w:t>
      </w:r>
      <w:proofErr w:type="spellEnd"/>
      <w:r>
        <w:rPr>
          <w:rFonts w:ascii="Segoe UI" w:hAnsi="Segoe UI" w:cs="Segoe UI"/>
          <w:color w:val="0F1115"/>
        </w:rPr>
        <w:t xml:space="preserve">-e Ney. </w:t>
      </w:r>
    </w:p>
    <w:p w14:paraId="37CE8AFA" w14:textId="77777777" w:rsidR="002E6E11" w:rsidRDefault="002E6E11" w:rsidP="002E6E11">
      <w:pPr>
        <w:pStyle w:val="ds-markdown-paragraph"/>
        <w:shd w:val="clear" w:color="auto" w:fill="FFFFFF"/>
        <w:spacing w:before="240" w:beforeAutospacing="0" w:after="240" w:afterAutospacing="0"/>
        <w:jc w:val="both"/>
        <w:rPr>
          <w:rFonts w:ascii="Segoe UI" w:hAnsi="Segoe UI" w:cs="Segoe UI"/>
          <w:color w:val="0F1115"/>
        </w:rPr>
      </w:pPr>
      <w:r>
        <w:rPr>
          <w:rFonts w:ascii="Segoe UI" w:hAnsi="Segoe UI" w:cs="Segoe UI"/>
          <w:color w:val="0F1115"/>
        </w:rPr>
        <w:lastRenderedPageBreak/>
        <w:t>Tyson, L. (2013). </w:t>
      </w:r>
      <w:r>
        <w:rPr>
          <w:rStyle w:val="Emphasis"/>
          <w:rFonts w:ascii="Segoe UI" w:eastAsiaTheme="majorEastAsia" w:hAnsi="Segoe UI" w:cs="Segoe UI"/>
          <w:color w:val="0F1115"/>
        </w:rPr>
        <w:t>Critical theory today: A user-friendly guide</w:t>
      </w:r>
      <w:r>
        <w:rPr>
          <w:rFonts w:ascii="Segoe UI" w:hAnsi="Segoe UI" w:cs="Segoe UI"/>
          <w:color w:val="0F1115"/>
        </w:rPr>
        <w:t xml:space="preserve"> (M. </w:t>
      </w:r>
      <w:proofErr w:type="spellStart"/>
      <w:r>
        <w:rPr>
          <w:rFonts w:ascii="Segoe UI" w:hAnsi="Segoe UI" w:cs="Segoe UI"/>
          <w:color w:val="0F1115"/>
        </w:rPr>
        <w:t>Hosseinzadeh</w:t>
      </w:r>
      <w:proofErr w:type="spellEnd"/>
      <w:r>
        <w:rPr>
          <w:rFonts w:ascii="Segoe UI" w:hAnsi="Segoe UI" w:cs="Segoe UI"/>
          <w:color w:val="0F1115"/>
        </w:rPr>
        <w:t xml:space="preserve"> &amp; F. Hosseini, Trans., 2nd ed.). Tehran: </w:t>
      </w:r>
      <w:proofErr w:type="spellStart"/>
      <w:r>
        <w:rPr>
          <w:rFonts w:ascii="Segoe UI" w:hAnsi="Segoe UI" w:cs="Segoe UI"/>
          <w:color w:val="0F1115"/>
        </w:rPr>
        <w:t>Negah</w:t>
      </w:r>
      <w:proofErr w:type="spellEnd"/>
      <w:r>
        <w:rPr>
          <w:rFonts w:ascii="Segoe UI" w:hAnsi="Segoe UI" w:cs="Segoe UI"/>
          <w:color w:val="0F1115"/>
        </w:rPr>
        <w:t xml:space="preserve">-e </w:t>
      </w:r>
      <w:proofErr w:type="spellStart"/>
      <w:r>
        <w:rPr>
          <w:rFonts w:ascii="Segoe UI" w:hAnsi="Segoe UI" w:cs="Segoe UI"/>
          <w:color w:val="0F1115"/>
        </w:rPr>
        <w:t>Emrooz</w:t>
      </w:r>
      <w:proofErr w:type="spellEnd"/>
      <w:r>
        <w:rPr>
          <w:rFonts w:ascii="Segoe UI" w:hAnsi="Segoe UI" w:cs="Segoe UI"/>
          <w:color w:val="0F1115"/>
        </w:rPr>
        <w:t xml:space="preserve">. </w:t>
      </w:r>
    </w:p>
    <w:p w14:paraId="09B678BB"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r>
        <w:rPr>
          <w:rFonts w:ascii="Segoe UI" w:hAnsi="Segoe UI" w:cs="Segoe UI"/>
          <w:color w:val="0F1115"/>
        </w:rPr>
        <w:t>Warhol, R. R. (2012). Feminist narratology. In </w:t>
      </w:r>
      <w:r>
        <w:rPr>
          <w:rStyle w:val="Emphasis"/>
          <w:rFonts w:ascii="Segoe UI" w:eastAsiaTheme="majorEastAsia" w:hAnsi="Segoe UI" w:cs="Segoe UI"/>
          <w:color w:val="0F1115"/>
        </w:rPr>
        <w:t>Encyclopedia of narratology</w:t>
      </w:r>
      <w:r>
        <w:rPr>
          <w:rFonts w:ascii="Segoe UI" w:hAnsi="Segoe UI" w:cs="Segoe UI"/>
          <w:color w:val="0F1115"/>
        </w:rPr>
        <w:t xml:space="preserve"> (pp. 155-158) (N. al-Sadat Mousavi, Trans.). Tehran: Elm. </w:t>
      </w:r>
    </w:p>
    <w:p w14:paraId="38426497"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6619D9B5"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08C1E154"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10EE0E90"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17B162E3"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0B2B5744"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18BF730B"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03AD2E56"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25D75BB5"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51E5E6A6"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7BCE5B79"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369823C0"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05A03AB8"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6EF960A2"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6FFD251A"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5D855932"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5FBBABA7"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3DB5135D"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66B4ADA0" w14:textId="77777777" w:rsidR="002E6E11" w:rsidRDefault="002E6E11" w:rsidP="002E6E11">
      <w:pPr>
        <w:pStyle w:val="ds-markdown-paragraph"/>
        <w:shd w:val="clear" w:color="auto" w:fill="FFFFFF"/>
        <w:spacing w:before="240" w:beforeAutospacing="0" w:after="0" w:afterAutospacing="0"/>
        <w:jc w:val="both"/>
        <w:rPr>
          <w:rFonts w:ascii="Segoe UI" w:hAnsi="Segoe UI" w:cs="Segoe UI"/>
          <w:color w:val="0F1115"/>
        </w:rPr>
      </w:pPr>
    </w:p>
    <w:p w14:paraId="3C75C0F8" w14:textId="77777777" w:rsidR="002E6E11" w:rsidRDefault="002E6E11" w:rsidP="002E6E11">
      <w:pPr>
        <w:pStyle w:val="ds-markdown-paragraph"/>
        <w:shd w:val="clear" w:color="auto" w:fill="FFFFFF"/>
        <w:spacing w:before="240" w:beforeAutospacing="0" w:after="0" w:afterAutospacing="0"/>
        <w:jc w:val="both"/>
        <w:rPr>
          <w:rFonts w:ascii="Traditional Arabic" w:hAnsi="Traditional Arabic" w:cs="Traditional Arabic"/>
          <w:sz w:val="28"/>
          <w:szCs w:val="28"/>
          <w:rtl/>
        </w:rPr>
      </w:pPr>
    </w:p>
    <w:p w14:paraId="0C78CEE0" w14:textId="77777777" w:rsidR="002E6E11" w:rsidRPr="00A9675D" w:rsidRDefault="002E6E11" w:rsidP="002E6E11">
      <w:pPr>
        <w:bidi/>
        <w:jc w:val="both"/>
        <w:rPr>
          <w:rFonts w:ascii="Traditional Arabic" w:hAnsi="Traditional Arabic" w:cs="Traditional Arabic"/>
          <w:sz w:val="28"/>
          <w:szCs w:val="28"/>
          <w:rtl/>
        </w:rPr>
      </w:pPr>
    </w:p>
    <w:p w14:paraId="11A5269E" w14:textId="26C84D59" w:rsidR="002E6E11" w:rsidRPr="007B0634" w:rsidRDefault="002E6E11" w:rsidP="002E6E11">
      <w:pPr>
        <w:bidi/>
        <w:jc w:val="both"/>
        <w:rPr>
          <w:rFonts w:ascii="Traditional Arabic" w:hAnsi="Traditional Arabic" w:cs="B Nazanin"/>
          <w:b/>
          <w:bCs/>
          <w:sz w:val="32"/>
          <w:szCs w:val="32"/>
          <w:rtl/>
        </w:rPr>
      </w:pPr>
      <w:r w:rsidRPr="007B0634">
        <w:rPr>
          <w:rFonts w:ascii="Traditional Arabic" w:hAnsi="Traditional Arabic" w:cs="B Nazanin"/>
          <w:b/>
          <w:bCs/>
          <w:sz w:val="32"/>
          <w:szCs w:val="32"/>
          <w:rtl/>
        </w:rPr>
        <w:t>کاربست نظری</w:t>
      </w:r>
      <w:r w:rsidRPr="007B0634">
        <w:rPr>
          <w:rFonts w:ascii="Times New Roman" w:hAnsi="Times New Roman" w:cs="B Nazanin" w:hint="cs"/>
          <w:b/>
          <w:bCs/>
          <w:sz w:val="32"/>
          <w:szCs w:val="32"/>
          <w:rtl/>
        </w:rPr>
        <w:t>ۀ</w:t>
      </w:r>
      <w:r w:rsidRPr="007B0634">
        <w:rPr>
          <w:rFonts w:ascii="Traditional Arabic" w:hAnsi="Traditional Arabic" w:cs="B Nazanin"/>
          <w:b/>
          <w:bCs/>
          <w:sz w:val="32"/>
          <w:szCs w:val="32"/>
          <w:rtl/>
        </w:rPr>
        <w:t xml:space="preserve"> «وضعیت زنان» الین شوالتر در رمان سندریلات مسقط هدی حمد</w:t>
      </w:r>
      <w:r>
        <w:rPr>
          <w:rStyle w:val="FootnoteReference"/>
          <w:rFonts w:ascii="Traditional Arabic" w:hAnsi="Traditional Arabic" w:cs="B Nazanin"/>
          <w:b/>
          <w:bCs/>
          <w:sz w:val="32"/>
          <w:szCs w:val="32"/>
          <w:rtl/>
        </w:rPr>
        <w:footnoteReference w:id="7"/>
      </w:r>
    </w:p>
    <w:p w14:paraId="07C73A91" w14:textId="77777777" w:rsidR="002E6E11" w:rsidRPr="007B0634" w:rsidRDefault="002E6E11" w:rsidP="002E6E11">
      <w:pPr>
        <w:bidi/>
        <w:jc w:val="both"/>
        <w:rPr>
          <w:rFonts w:ascii="Traditional Arabic" w:hAnsi="Traditional Arabic" w:cs="B Nazanin"/>
          <w:sz w:val="28"/>
          <w:szCs w:val="28"/>
          <w:rtl/>
        </w:rPr>
      </w:pPr>
      <w:r w:rsidRPr="007B0634">
        <w:rPr>
          <w:rFonts w:ascii="Traditional Arabic" w:hAnsi="Traditional Arabic" w:cs="B Nazanin"/>
          <w:sz w:val="28"/>
          <w:szCs w:val="28"/>
          <w:rtl/>
        </w:rPr>
        <w:t xml:space="preserve">نقد فمینیستی، به‌عنوان رویکردی تحلیلی در مطالعات ادبی، با تمرکز بر جایگاه زنان در ساختارهای اجتماعی، در پی </w:t>
      </w:r>
      <w:r w:rsidRPr="00086256">
        <w:rPr>
          <w:rFonts w:ascii="Traditional Arabic" w:hAnsi="Traditional Arabic" w:cs="B Nazanin"/>
          <w:sz w:val="28"/>
          <w:szCs w:val="28"/>
          <w:highlight w:val="yellow"/>
          <w:rtl/>
        </w:rPr>
        <w:t>افشای</w:t>
      </w:r>
      <w:r w:rsidRPr="007B0634">
        <w:rPr>
          <w:rFonts w:ascii="Traditional Arabic" w:hAnsi="Traditional Arabic" w:cs="B Nazanin"/>
          <w:sz w:val="28"/>
          <w:szCs w:val="28"/>
          <w:rtl/>
        </w:rPr>
        <w:t xml:space="preserve"> نابرابری‌های جنسیتی و ترغیب به بازتعریف روابط قدرت است.  رمان «سندریلات مسقط» از هدی حمد، نویسند</w:t>
      </w:r>
      <w:r w:rsidRPr="007B0634">
        <w:rPr>
          <w:rFonts w:ascii="Times New Roman" w:hAnsi="Times New Roman" w:cs="B Nazanin" w:hint="cs"/>
          <w:sz w:val="28"/>
          <w:szCs w:val="28"/>
          <w:rtl/>
        </w:rPr>
        <w:t>ۀ</w:t>
      </w:r>
      <w:r w:rsidRPr="007B0634">
        <w:rPr>
          <w:rFonts w:ascii="Traditional Arabic" w:hAnsi="Traditional Arabic" w:cs="B Nazanin"/>
          <w:sz w:val="28"/>
          <w:szCs w:val="28"/>
          <w:rtl/>
        </w:rPr>
        <w:t xml:space="preserve"> زن عمانی، ایدئولوژی سیطر</w:t>
      </w:r>
      <w:r w:rsidRPr="007B0634">
        <w:rPr>
          <w:rFonts w:ascii="Times New Roman" w:hAnsi="Times New Roman" w:cs="B Nazanin" w:hint="cs"/>
          <w:sz w:val="28"/>
          <w:szCs w:val="28"/>
          <w:rtl/>
        </w:rPr>
        <w:t>ۀ</w:t>
      </w:r>
      <w:r w:rsidRPr="007B0634">
        <w:rPr>
          <w:rFonts w:ascii="Traditional Arabic" w:hAnsi="Traditional Arabic" w:cs="B Nazanin"/>
          <w:sz w:val="28"/>
          <w:szCs w:val="28"/>
          <w:rtl/>
        </w:rPr>
        <w:t xml:space="preserve"> مردسالاری را در خانواده و جامعه به تصویر می‌کشد. این پژوهش با رویکرد تحلیلی-توصیفی، رمان «سندریلات مسقط» اثر هدی حمد را در چارچوب نظری</w:t>
      </w:r>
      <w:r w:rsidRPr="007B0634">
        <w:rPr>
          <w:rFonts w:ascii="Times New Roman" w:hAnsi="Times New Roman" w:cs="B Nazanin" w:hint="cs"/>
          <w:sz w:val="28"/>
          <w:szCs w:val="28"/>
          <w:rtl/>
        </w:rPr>
        <w:t>ۀ</w:t>
      </w:r>
      <w:r w:rsidRPr="007B0634">
        <w:rPr>
          <w:rFonts w:ascii="Traditional Arabic" w:hAnsi="Traditional Arabic" w:cs="B Nazanin"/>
          <w:sz w:val="28"/>
          <w:szCs w:val="28"/>
          <w:rtl/>
        </w:rPr>
        <w:t xml:space="preserve"> سه مرحله‌ای الین شوالتر مورد بررسی قرار می‌دهد. هدف از این تحلیل، نشان دادن چگونگی تجلی مسیر تاریخی تکامل آگاهی زنان در این اثر است که از پذیرش نقش‌های سنتی آغاز می‌شود و به مرحله نهایی هویت‌یابی مستقل می‌رسد. نتایج پژوهش نشان می‌دهد که این رمان، سیر تحول زنان را از مرحل</w:t>
      </w:r>
      <w:r w:rsidRPr="007B0634">
        <w:rPr>
          <w:rFonts w:ascii="Times New Roman" w:hAnsi="Times New Roman" w:cs="B Nazanin" w:hint="cs"/>
          <w:sz w:val="28"/>
          <w:szCs w:val="28"/>
          <w:rtl/>
        </w:rPr>
        <w:t>ۀ</w:t>
      </w:r>
      <w:r w:rsidRPr="007B0634">
        <w:rPr>
          <w:rFonts w:ascii="Traditional Arabic" w:hAnsi="Traditional Arabic" w:cs="B Nazanin"/>
          <w:sz w:val="28"/>
          <w:szCs w:val="28"/>
          <w:rtl/>
        </w:rPr>
        <w:t xml:space="preserve"> انقیاد و تقید</w:t>
      </w:r>
      <w:r w:rsidRPr="007B0634">
        <w:rPr>
          <w:rFonts w:ascii="Traditional Arabic" w:hAnsi="Traditional Arabic" w:cs="B Nazanin"/>
          <w:sz w:val="28"/>
          <w:szCs w:val="28"/>
        </w:rPr>
        <w:t xml:space="preserve"> (Feminine)</w:t>
      </w:r>
      <w:r w:rsidRPr="007B0634">
        <w:rPr>
          <w:rFonts w:ascii="Traditional Arabic" w:hAnsi="Traditional Arabic" w:cs="B Nazanin"/>
          <w:sz w:val="28"/>
          <w:szCs w:val="28"/>
          <w:rtl/>
        </w:rPr>
        <w:t>، که در آن شخصیت‌ها در چارچوب انتظارات مردسالارانه تعریف می‌شوند، به مرحله اعتراض</w:t>
      </w:r>
      <w:r w:rsidRPr="007B0634">
        <w:rPr>
          <w:rFonts w:ascii="Traditional Arabic" w:hAnsi="Traditional Arabic" w:cs="B Nazanin"/>
          <w:sz w:val="28"/>
          <w:szCs w:val="28"/>
        </w:rPr>
        <w:t xml:space="preserve"> (Feminist) </w:t>
      </w:r>
      <w:r w:rsidRPr="007B0634">
        <w:rPr>
          <w:rFonts w:ascii="Traditional Arabic" w:hAnsi="Traditional Arabic" w:cs="B Nazanin"/>
          <w:sz w:val="28"/>
          <w:szCs w:val="28"/>
          <w:rtl/>
        </w:rPr>
        <w:t>که با تمرد نمادین علیه ساختارهای محدودکننده به نمایش گذاشته می‌شود، و در نهایت به مرحل</w:t>
      </w:r>
      <w:r w:rsidRPr="007B0634">
        <w:rPr>
          <w:rFonts w:ascii="Times New Roman" w:hAnsi="Times New Roman" w:cs="B Nazanin" w:hint="cs"/>
          <w:sz w:val="28"/>
          <w:szCs w:val="28"/>
          <w:rtl/>
        </w:rPr>
        <w:t>ۀ</w:t>
      </w:r>
      <w:r w:rsidRPr="007B0634">
        <w:rPr>
          <w:rFonts w:ascii="Traditional Arabic" w:hAnsi="Traditional Arabic" w:cs="B Nazanin"/>
          <w:sz w:val="28"/>
          <w:szCs w:val="28"/>
          <w:rtl/>
        </w:rPr>
        <w:t xml:space="preserve"> هویت فردی</w:t>
      </w:r>
      <w:r w:rsidRPr="007B0634">
        <w:rPr>
          <w:rFonts w:ascii="Traditional Arabic" w:hAnsi="Traditional Arabic" w:cs="B Nazanin"/>
          <w:sz w:val="28"/>
          <w:szCs w:val="28"/>
        </w:rPr>
        <w:t xml:space="preserve"> (Female) </w:t>
      </w:r>
      <w:r w:rsidRPr="007B0634">
        <w:rPr>
          <w:rFonts w:ascii="Traditional Arabic" w:hAnsi="Traditional Arabic" w:cs="B Nazanin"/>
          <w:sz w:val="28"/>
          <w:szCs w:val="28"/>
          <w:rtl/>
        </w:rPr>
        <w:t>که در آن زنان به زبان و فضای خاص خود دست می‌یابند، به تصویر می‌کشد. نویسنده با تمرکز بر این سه مرحله، از نابرابری‌های سیستماتیک علیه زنان انتقاد می‌کند و با برجسته کردن رهایی درونی و توانمندی شخصیت‌ها، ایدئولوژی غالب مردسالاری را به چالش می‌کشد. یافته‌ها حاکی از آن است که حمد با ترسیم این سیر تکاملی، به نقد سیستماتیک نهادهای مردسالار می‌پردازد و با برجسته‌سازی عاملیت زنان، همبستگی جمعی و قدرت رهایی‌بخش روایت، گفتمان مسلط را به چالش می‌کشد و امکان برساخت جهانی موازی را فراروی خواننده می‌نهد</w:t>
      </w:r>
      <w:r w:rsidRPr="007B0634">
        <w:rPr>
          <w:rFonts w:ascii="Traditional Arabic" w:hAnsi="Traditional Arabic" w:cs="B Nazanin"/>
          <w:sz w:val="28"/>
          <w:szCs w:val="28"/>
        </w:rPr>
        <w:t>.</w:t>
      </w:r>
    </w:p>
    <w:p w14:paraId="011E84E0" w14:textId="77777777" w:rsidR="002E6E11" w:rsidRDefault="002E6E11" w:rsidP="002E6E11">
      <w:pPr>
        <w:bidi/>
        <w:jc w:val="both"/>
        <w:rPr>
          <w:rFonts w:ascii="Traditional Arabic" w:hAnsi="Traditional Arabic" w:cs="B Nazanin"/>
          <w:sz w:val="28"/>
          <w:szCs w:val="28"/>
          <w:rtl/>
        </w:rPr>
      </w:pPr>
      <w:r w:rsidRPr="007B0634">
        <w:rPr>
          <w:rFonts w:ascii="Traditional Arabic" w:hAnsi="Traditional Arabic" w:cs="B Nazanin"/>
          <w:sz w:val="28"/>
          <w:szCs w:val="28"/>
          <w:rtl/>
        </w:rPr>
        <w:t xml:space="preserve">کلیدواژه‌ها: </w:t>
      </w:r>
    </w:p>
    <w:p w14:paraId="0ADC41B2" w14:textId="77777777" w:rsidR="002E6E11" w:rsidRPr="007B0634" w:rsidRDefault="002E6E11" w:rsidP="002E6E11">
      <w:pPr>
        <w:bidi/>
        <w:jc w:val="both"/>
        <w:rPr>
          <w:rFonts w:ascii="Traditional Arabic" w:hAnsi="Traditional Arabic" w:cs="B Nazanin"/>
          <w:sz w:val="28"/>
          <w:szCs w:val="28"/>
          <w:rtl/>
        </w:rPr>
      </w:pPr>
      <w:r w:rsidRPr="007B0634">
        <w:rPr>
          <w:rFonts w:ascii="Traditional Arabic" w:hAnsi="Traditional Arabic" w:cs="B Nazanin"/>
          <w:sz w:val="28"/>
          <w:szCs w:val="28"/>
          <w:rtl/>
        </w:rPr>
        <w:t xml:space="preserve">نقد فمنیستی، مردسالاری، الین شوالتر، هویت زنانه، </w:t>
      </w:r>
      <w:r w:rsidRPr="00086256">
        <w:rPr>
          <w:rFonts w:ascii="Traditional Arabic" w:hAnsi="Traditional Arabic" w:cs="B Nazanin"/>
          <w:sz w:val="28"/>
          <w:szCs w:val="28"/>
          <w:highlight w:val="yellow"/>
          <w:rtl/>
        </w:rPr>
        <w:t>نظر</w:t>
      </w:r>
      <w:r w:rsidRPr="00086256">
        <w:rPr>
          <w:rFonts w:ascii="Traditional Arabic" w:hAnsi="Traditional Arabic" w:cs="B Nazanin" w:hint="cs"/>
          <w:sz w:val="28"/>
          <w:szCs w:val="28"/>
          <w:highlight w:val="yellow"/>
          <w:rtl/>
        </w:rPr>
        <w:t>یه</w:t>
      </w:r>
      <w:r w:rsidRPr="00086256">
        <w:rPr>
          <w:rFonts w:ascii="Traditional Arabic" w:hAnsi="Traditional Arabic" w:cs="B Nazanin"/>
          <w:sz w:val="28"/>
          <w:szCs w:val="28"/>
          <w:highlight w:val="yellow"/>
          <w:rtl/>
        </w:rPr>
        <w:t xml:space="preserve"> وضعی</w:t>
      </w:r>
      <w:r w:rsidRPr="007B0634">
        <w:rPr>
          <w:rFonts w:ascii="Traditional Arabic" w:hAnsi="Traditional Arabic" w:cs="B Nazanin"/>
          <w:sz w:val="28"/>
          <w:szCs w:val="28"/>
          <w:rtl/>
        </w:rPr>
        <w:t>، سندريلات مسقط</w:t>
      </w:r>
      <w:r w:rsidRPr="007B0634">
        <w:rPr>
          <w:rFonts w:ascii="Traditional Arabic" w:hAnsi="Traditional Arabic" w:cs="B Nazanin"/>
          <w:sz w:val="28"/>
          <w:szCs w:val="28"/>
        </w:rPr>
        <w:t>.</w:t>
      </w:r>
    </w:p>
    <w:p w14:paraId="3ED1059C" w14:textId="77777777" w:rsidR="002E6E11" w:rsidRPr="007B0634" w:rsidRDefault="002E6E11" w:rsidP="002E6E11">
      <w:pPr>
        <w:jc w:val="both"/>
        <w:rPr>
          <w:rFonts w:ascii="Traditional Arabic" w:hAnsi="Traditional Arabic" w:cs="B Nazanin"/>
          <w:sz w:val="28"/>
          <w:szCs w:val="28"/>
          <w:rtl/>
        </w:rPr>
      </w:pPr>
    </w:p>
    <w:p w14:paraId="73D0FCA3" w14:textId="77777777" w:rsidR="002E6E11" w:rsidRPr="00A9675D" w:rsidRDefault="002E6E11" w:rsidP="002E6E11">
      <w:pPr>
        <w:jc w:val="both"/>
        <w:rPr>
          <w:rFonts w:ascii="Traditional Arabic" w:hAnsi="Traditional Arabic" w:cs="Traditional Arabic"/>
          <w:sz w:val="28"/>
          <w:szCs w:val="28"/>
        </w:rPr>
      </w:pPr>
    </w:p>
    <w:p w14:paraId="37CE80CB" w14:textId="77777777" w:rsidR="00A9675D" w:rsidRPr="002E6E11" w:rsidRDefault="00A9675D" w:rsidP="002E6E11"/>
    <w:sectPr w:rsidR="00A9675D" w:rsidRPr="002E6E11">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D9ED9" w14:textId="77777777" w:rsidR="00B56B94" w:rsidRDefault="00B56B94" w:rsidP="00CC55E0">
      <w:pPr>
        <w:spacing w:after="0" w:line="240" w:lineRule="auto"/>
      </w:pPr>
      <w:r>
        <w:separator/>
      </w:r>
    </w:p>
  </w:endnote>
  <w:endnote w:type="continuationSeparator" w:id="0">
    <w:p w14:paraId="4850E52D" w14:textId="77777777" w:rsidR="00B56B94" w:rsidRDefault="00B56B94" w:rsidP="00CC5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F869A" w14:textId="77777777" w:rsidR="00B56B94" w:rsidRDefault="00B56B94" w:rsidP="00CC55E0">
      <w:pPr>
        <w:spacing w:after="0" w:line="240" w:lineRule="auto"/>
      </w:pPr>
      <w:r>
        <w:separator/>
      </w:r>
    </w:p>
  </w:footnote>
  <w:footnote w:type="continuationSeparator" w:id="0">
    <w:p w14:paraId="518C92C3" w14:textId="77777777" w:rsidR="00B56B94" w:rsidRDefault="00B56B94" w:rsidP="00CC55E0">
      <w:pPr>
        <w:spacing w:after="0" w:line="240" w:lineRule="auto"/>
      </w:pPr>
      <w:r>
        <w:continuationSeparator/>
      </w:r>
    </w:p>
  </w:footnote>
  <w:footnote w:id="1">
    <w:p w14:paraId="4E4531F6" w14:textId="091ACDC2" w:rsidR="002E6E11" w:rsidRDefault="002E6E11" w:rsidP="002E6E11">
      <w:pPr>
        <w:pStyle w:val="FootnoteText"/>
      </w:pPr>
      <w:r>
        <w:rPr>
          <w:rStyle w:val="FootnoteReference"/>
        </w:rPr>
        <w:footnoteRef/>
      </w:r>
      <w:r>
        <w:t xml:space="preserve"> </w:t>
      </w:r>
      <w:proofErr w:type="spellStart"/>
      <w:r>
        <w:t>Saman</w:t>
      </w:r>
      <w:r>
        <w:t>eh</w:t>
      </w:r>
      <w:proofErr w:type="spellEnd"/>
      <w:r>
        <w:t xml:space="preserve"> </w:t>
      </w:r>
      <w:proofErr w:type="spellStart"/>
      <w:r>
        <w:t>Dehqani</w:t>
      </w:r>
      <w:proofErr w:type="spellEnd"/>
      <w:r>
        <w:t>, PhD student in Arabic Language and Literature, Kashan University, Kashan, Iran.</w:t>
      </w:r>
    </w:p>
    <w:p w14:paraId="4F9A833B" w14:textId="77777777" w:rsidR="002E6E11" w:rsidRDefault="002E6E11" w:rsidP="002E6E11">
      <w:pPr>
        <w:pStyle w:val="FootnoteText"/>
      </w:pPr>
      <w:r>
        <w:t xml:space="preserve">Mohsen </w:t>
      </w:r>
      <w:proofErr w:type="spellStart"/>
      <w:r>
        <w:t>Seifi</w:t>
      </w:r>
      <w:proofErr w:type="spellEnd"/>
      <w:r>
        <w:t>, Associate Professor of Arabic Language and Literature, Kashan University, Kashan, Iran.</w:t>
      </w:r>
    </w:p>
    <w:p w14:paraId="2D7E55A6" w14:textId="1691506B" w:rsidR="002E6E11" w:rsidRDefault="002E6E11" w:rsidP="002E6E11">
      <w:pPr>
        <w:pStyle w:val="FootnoteText"/>
        <w:rPr>
          <w:rFonts w:hint="cs"/>
          <w:rtl/>
          <w:lang w:bidi="fa-IR"/>
        </w:rPr>
      </w:pPr>
      <w:r>
        <w:t xml:space="preserve">Ali Najafi </w:t>
      </w:r>
      <w:proofErr w:type="spellStart"/>
      <w:r>
        <w:t>E</w:t>
      </w:r>
      <w:r>
        <w:t>y</w:t>
      </w:r>
      <w:r>
        <w:t>va</w:t>
      </w:r>
      <w:r>
        <w:t>ki</w:t>
      </w:r>
      <w:proofErr w:type="spellEnd"/>
      <w:r>
        <w:t>, Associate Professor of Arabic Language and Literature, Kashan University, Kashan, Iran.</w:t>
      </w:r>
    </w:p>
  </w:footnote>
  <w:footnote w:id="2">
    <w:p w14:paraId="0320DA77" w14:textId="59B191A3" w:rsidR="002E6E11" w:rsidRDefault="002E6E11" w:rsidP="002E6E11">
      <w:pPr>
        <w:pStyle w:val="FootnoteText"/>
        <w:bidi/>
        <w:rPr>
          <w:rFonts w:ascii="Traditional Arabic" w:hAnsi="Traditional Arabic" w:cs="Traditional Arabic"/>
          <w:rtl/>
          <w:lang w:bidi="fa-IR"/>
        </w:rPr>
      </w:pPr>
      <w:r>
        <w:rPr>
          <w:rStyle w:val="FootnoteReference"/>
        </w:rPr>
        <w:footnoteRef/>
      </w:r>
      <w:r>
        <w:t xml:space="preserve"> </w:t>
      </w:r>
      <w:r>
        <w:rPr>
          <w:rFonts w:ascii="Traditional Arabic" w:hAnsi="Traditional Arabic" w:cs="Traditional Arabic" w:hint="cs"/>
          <w:rtl/>
          <w:lang w:bidi="fa-IR"/>
        </w:rPr>
        <w:t>سمانة دهقاني، طالبة دکتوراه في اللغة العربية وآدابها، جامعة کاشان، کاشان، إيران.</w:t>
      </w:r>
    </w:p>
    <w:p w14:paraId="33D50C2C" w14:textId="0BA6B1CE" w:rsidR="002E6E11" w:rsidRDefault="002E6E11" w:rsidP="002E6E11">
      <w:pPr>
        <w:pStyle w:val="FootnoteText"/>
        <w:bidi/>
        <w:rPr>
          <w:rFonts w:ascii="Traditional Arabic" w:hAnsi="Traditional Arabic" w:cs="Traditional Arabic"/>
          <w:rtl/>
          <w:lang w:bidi="fa-IR"/>
        </w:rPr>
      </w:pPr>
      <w:r>
        <w:rPr>
          <w:rFonts w:ascii="Traditional Arabic" w:hAnsi="Traditional Arabic" w:cs="Traditional Arabic" w:hint="cs"/>
          <w:rtl/>
          <w:lang w:bidi="fa-IR"/>
        </w:rPr>
        <w:t xml:space="preserve">محسن سيفي، أستاذ </w:t>
      </w:r>
      <w:bookmarkStart w:id="0" w:name="_Hlk210928890"/>
      <w:r>
        <w:rPr>
          <w:rFonts w:ascii="Traditional Arabic" w:hAnsi="Traditional Arabic" w:cs="Traditional Arabic" w:hint="cs"/>
          <w:rtl/>
          <w:lang w:bidi="fa-IR"/>
        </w:rPr>
        <w:t>مشار</w:t>
      </w:r>
      <w:r w:rsidRPr="002E6E11">
        <w:rPr>
          <w:rFonts w:ascii="Traditional Arabic" w:hAnsi="Traditional Arabic" w:cs="Traditional Arabic"/>
          <w:rtl/>
          <w:lang w:bidi="fa-IR"/>
        </w:rPr>
        <w:t>ك</w:t>
      </w:r>
      <w:r>
        <w:rPr>
          <w:rFonts w:ascii="Traditional Arabic" w:hAnsi="Traditional Arabic" w:cs="Traditional Arabic" w:hint="cs"/>
          <w:rtl/>
          <w:lang w:bidi="fa-IR"/>
        </w:rPr>
        <w:t xml:space="preserve"> </w:t>
      </w:r>
      <w:bookmarkEnd w:id="0"/>
      <w:r>
        <w:rPr>
          <w:rFonts w:ascii="Traditional Arabic" w:hAnsi="Traditional Arabic" w:cs="Traditional Arabic" w:hint="cs"/>
          <w:rtl/>
          <w:lang w:bidi="fa-IR"/>
        </w:rPr>
        <w:t xml:space="preserve">في </w:t>
      </w:r>
      <w:r w:rsidRPr="002E6E11">
        <w:rPr>
          <w:rFonts w:ascii="Traditional Arabic" w:hAnsi="Traditional Arabic" w:cs="Traditional Arabic"/>
          <w:rtl/>
          <w:lang w:bidi="fa-IR"/>
        </w:rPr>
        <w:t>اللغة العربية وآدابها، جامعة کاشان، کاشان، إيران.</w:t>
      </w:r>
    </w:p>
    <w:p w14:paraId="087354EF" w14:textId="0CCC1AED" w:rsidR="002E6E11" w:rsidRPr="002E6E11" w:rsidRDefault="002E6E11" w:rsidP="002E6E11">
      <w:pPr>
        <w:pStyle w:val="FootnoteText"/>
        <w:bidi/>
        <w:rPr>
          <w:rFonts w:ascii="Traditional Arabic" w:hAnsi="Traditional Arabic" w:cs="Traditional Arabic" w:hint="cs"/>
          <w:rtl/>
          <w:lang w:bidi="fa-IR"/>
        </w:rPr>
      </w:pPr>
      <w:r>
        <w:rPr>
          <w:rFonts w:ascii="Traditional Arabic" w:hAnsi="Traditional Arabic" w:cs="Traditional Arabic" w:hint="cs"/>
          <w:rtl/>
          <w:lang w:bidi="fa-IR"/>
        </w:rPr>
        <w:t>علي نجفي ايوکي، أ</w:t>
      </w:r>
      <w:r w:rsidRPr="002E6E11">
        <w:rPr>
          <w:rFonts w:ascii="Traditional Arabic" w:hAnsi="Traditional Arabic" w:cs="Traditional Arabic"/>
          <w:rtl/>
          <w:lang w:bidi="fa-IR"/>
        </w:rPr>
        <w:t>ستاذ مشارك في اللغة العربية وآدابها، جامعة کاشان، کاشان، إيران.</w:t>
      </w:r>
    </w:p>
  </w:footnote>
  <w:footnote w:id="3">
    <w:p w14:paraId="3378DBF9" w14:textId="77777777" w:rsidR="002E6E11" w:rsidRDefault="002E6E11" w:rsidP="002E6E11">
      <w:pPr>
        <w:pStyle w:val="FootnoteText"/>
        <w:rPr>
          <w:rtl/>
          <w:lang w:bidi="fa-IR"/>
        </w:rPr>
      </w:pPr>
      <w:r w:rsidRPr="005850C6">
        <w:rPr>
          <w:rStyle w:val="FootnoteReference"/>
          <w:highlight w:val="yellow"/>
        </w:rPr>
        <w:footnoteRef/>
      </w:r>
      <w:r w:rsidRPr="005850C6">
        <w:rPr>
          <w:highlight w:val="yellow"/>
        </w:rPr>
        <w:t xml:space="preserve"> A Literature of Their Own: British Women Novelists from Bronte to Lessing</w:t>
      </w:r>
      <w:r w:rsidRPr="005850C6">
        <w:rPr>
          <w:rFonts w:hint="cs"/>
          <w:highlight w:val="yellow"/>
          <w:rtl/>
        </w:rPr>
        <w:t>.</w:t>
      </w:r>
    </w:p>
  </w:footnote>
  <w:footnote w:id="4">
    <w:p w14:paraId="3E9BA285" w14:textId="77777777" w:rsidR="002E6E11" w:rsidRDefault="002E6E11" w:rsidP="002E6E11">
      <w:pPr>
        <w:pStyle w:val="FootnoteText"/>
        <w:rPr>
          <w:rtl/>
          <w:lang w:bidi="fa-IR"/>
        </w:rPr>
      </w:pPr>
      <w:r>
        <w:rPr>
          <w:rStyle w:val="FootnoteReference"/>
        </w:rPr>
        <w:footnoteRef/>
      </w:r>
      <w:r>
        <w:t xml:space="preserve"> </w:t>
      </w:r>
      <w:r w:rsidRPr="005850C6">
        <w:t>The Feminine Stage</w:t>
      </w:r>
      <w:r>
        <w:rPr>
          <w:rFonts w:hint="cs"/>
          <w:rtl/>
        </w:rPr>
        <w:t>.</w:t>
      </w:r>
    </w:p>
  </w:footnote>
  <w:footnote w:id="5">
    <w:p w14:paraId="73B69198" w14:textId="77777777" w:rsidR="002E6E11" w:rsidRDefault="002E6E11" w:rsidP="002E6E11">
      <w:pPr>
        <w:pStyle w:val="FootnoteText"/>
        <w:rPr>
          <w:rtl/>
          <w:lang w:bidi="fa-IR"/>
        </w:rPr>
      </w:pPr>
      <w:r>
        <w:rPr>
          <w:rStyle w:val="FootnoteReference"/>
        </w:rPr>
        <w:footnoteRef/>
      </w:r>
      <w:r>
        <w:t xml:space="preserve"> </w:t>
      </w:r>
      <w:r w:rsidRPr="005850C6">
        <w:t>The Feminist Stage</w:t>
      </w:r>
      <w:r>
        <w:rPr>
          <w:rFonts w:hint="cs"/>
          <w:rtl/>
        </w:rPr>
        <w:t>.</w:t>
      </w:r>
    </w:p>
  </w:footnote>
  <w:footnote w:id="6">
    <w:p w14:paraId="3DFC66C9" w14:textId="77777777" w:rsidR="002E6E11" w:rsidRDefault="002E6E11" w:rsidP="002E6E11">
      <w:pPr>
        <w:pStyle w:val="FootnoteText"/>
        <w:rPr>
          <w:rtl/>
          <w:lang w:bidi="fa-IR"/>
        </w:rPr>
      </w:pPr>
      <w:r w:rsidRPr="005850C6">
        <w:rPr>
          <w:rStyle w:val="FootnoteReference"/>
          <w:highlight w:val="yellow"/>
        </w:rPr>
        <w:footnoteRef/>
      </w:r>
      <w:r w:rsidRPr="005850C6">
        <w:rPr>
          <w:highlight w:val="yellow"/>
        </w:rPr>
        <w:t xml:space="preserve"> The Female Stage</w:t>
      </w:r>
      <w:r w:rsidRPr="005850C6">
        <w:rPr>
          <w:rFonts w:hint="cs"/>
          <w:highlight w:val="yellow"/>
          <w:rtl/>
        </w:rPr>
        <w:t>.</w:t>
      </w:r>
    </w:p>
  </w:footnote>
  <w:footnote w:id="7">
    <w:p w14:paraId="5A070608" w14:textId="35D13E9E" w:rsidR="002E6E11" w:rsidRPr="002E6E11" w:rsidRDefault="002E6E11" w:rsidP="002E6E11">
      <w:pPr>
        <w:pStyle w:val="FootnoteText"/>
        <w:bidi/>
        <w:jc w:val="both"/>
        <w:rPr>
          <w:rFonts w:cs="B Nazanin"/>
          <w:rtl/>
        </w:rPr>
      </w:pPr>
      <w:r>
        <w:rPr>
          <w:rStyle w:val="FootnoteReference"/>
        </w:rPr>
        <w:footnoteRef/>
      </w:r>
      <w:r>
        <w:t xml:space="preserve"> </w:t>
      </w:r>
      <w:r w:rsidRPr="002E6E11">
        <w:rPr>
          <w:rFonts w:cs="B Nazanin"/>
          <w:rtl/>
        </w:rPr>
        <w:t>سمانه دهقان</w:t>
      </w:r>
      <w:r w:rsidRPr="002E6E11">
        <w:rPr>
          <w:rFonts w:cs="B Nazanin" w:hint="cs"/>
          <w:rtl/>
        </w:rPr>
        <w:t>ی</w:t>
      </w:r>
      <w:r w:rsidRPr="002E6E11">
        <w:rPr>
          <w:rFonts w:cs="B Nazanin" w:hint="eastAsia"/>
          <w:rtl/>
        </w:rPr>
        <w:t>،</w:t>
      </w:r>
      <w:r w:rsidRPr="002E6E11">
        <w:rPr>
          <w:rFonts w:cs="B Nazanin"/>
          <w:rtl/>
        </w:rPr>
        <w:t xml:space="preserve"> دانشجو</w:t>
      </w:r>
      <w:r w:rsidRPr="002E6E11">
        <w:rPr>
          <w:rFonts w:cs="B Nazanin" w:hint="cs"/>
          <w:rtl/>
        </w:rPr>
        <w:t>ی</w:t>
      </w:r>
      <w:r w:rsidRPr="002E6E11">
        <w:rPr>
          <w:rFonts w:cs="B Nazanin"/>
          <w:rtl/>
        </w:rPr>
        <w:t xml:space="preserve"> دکتر</w:t>
      </w:r>
      <w:r w:rsidRPr="002E6E11">
        <w:rPr>
          <w:rFonts w:cs="B Nazanin" w:hint="cs"/>
          <w:rtl/>
        </w:rPr>
        <w:t>ی</w:t>
      </w:r>
      <w:r w:rsidRPr="002E6E11">
        <w:rPr>
          <w:rFonts w:cs="B Nazanin"/>
          <w:rtl/>
        </w:rPr>
        <w:t xml:space="preserve"> زبان و ادب</w:t>
      </w:r>
      <w:r w:rsidRPr="002E6E11">
        <w:rPr>
          <w:rFonts w:cs="B Nazanin" w:hint="cs"/>
          <w:rtl/>
        </w:rPr>
        <w:t>ی</w:t>
      </w:r>
      <w:r w:rsidRPr="002E6E11">
        <w:rPr>
          <w:rFonts w:cs="B Nazanin" w:hint="eastAsia"/>
          <w:rtl/>
        </w:rPr>
        <w:t>ات</w:t>
      </w:r>
      <w:r w:rsidRPr="002E6E11">
        <w:rPr>
          <w:rFonts w:cs="B Nazanin"/>
          <w:rtl/>
        </w:rPr>
        <w:t xml:space="preserve"> عرب، دانشگاه کاشان، کاشان، ا</w:t>
      </w:r>
      <w:r w:rsidRPr="002E6E11">
        <w:rPr>
          <w:rFonts w:cs="B Nazanin" w:hint="cs"/>
          <w:rtl/>
        </w:rPr>
        <w:t>ی</w:t>
      </w:r>
      <w:r w:rsidRPr="002E6E11">
        <w:rPr>
          <w:rFonts w:cs="B Nazanin" w:hint="eastAsia"/>
          <w:rtl/>
        </w:rPr>
        <w:t>ران</w:t>
      </w:r>
      <w:r w:rsidRPr="002E6E11">
        <w:rPr>
          <w:rFonts w:cs="B Nazanin"/>
        </w:rPr>
        <w:t>.</w:t>
      </w:r>
    </w:p>
    <w:p w14:paraId="5F989090" w14:textId="40DFD71A" w:rsidR="002E6E11" w:rsidRPr="002E6E11" w:rsidRDefault="002E6E11" w:rsidP="002E6E11">
      <w:pPr>
        <w:pStyle w:val="FootnoteText"/>
        <w:bidi/>
        <w:jc w:val="both"/>
        <w:rPr>
          <w:rFonts w:cs="B Nazanin"/>
          <w:rtl/>
        </w:rPr>
      </w:pPr>
      <w:r w:rsidRPr="002E6E11">
        <w:rPr>
          <w:rFonts w:cs="B Nazanin" w:hint="eastAsia"/>
          <w:rtl/>
        </w:rPr>
        <w:t>محسن</w:t>
      </w:r>
      <w:r w:rsidRPr="002E6E11">
        <w:rPr>
          <w:rFonts w:cs="B Nazanin"/>
          <w:rtl/>
        </w:rPr>
        <w:t xml:space="preserve"> س</w:t>
      </w:r>
      <w:r w:rsidRPr="002E6E11">
        <w:rPr>
          <w:rFonts w:cs="B Nazanin" w:hint="cs"/>
          <w:rtl/>
        </w:rPr>
        <w:t>ی</w:t>
      </w:r>
      <w:r w:rsidRPr="002E6E11">
        <w:rPr>
          <w:rFonts w:cs="B Nazanin" w:hint="eastAsia"/>
          <w:rtl/>
        </w:rPr>
        <w:t>ف</w:t>
      </w:r>
      <w:r w:rsidRPr="002E6E11">
        <w:rPr>
          <w:rFonts w:cs="B Nazanin" w:hint="cs"/>
          <w:rtl/>
        </w:rPr>
        <w:t>ی</w:t>
      </w:r>
      <w:r w:rsidRPr="002E6E11">
        <w:rPr>
          <w:rFonts w:cs="B Nazanin" w:hint="eastAsia"/>
          <w:rtl/>
        </w:rPr>
        <w:t>،</w:t>
      </w:r>
      <w:r>
        <w:rPr>
          <w:rFonts w:cs="B Nazanin" w:hint="cs"/>
          <w:rtl/>
        </w:rPr>
        <w:t xml:space="preserve"> </w:t>
      </w:r>
      <w:bookmarkStart w:id="6" w:name="_Hlk210928930"/>
      <w:r>
        <w:rPr>
          <w:rFonts w:cs="B Nazanin" w:hint="cs"/>
          <w:rtl/>
        </w:rPr>
        <w:t>دانشیار</w:t>
      </w:r>
      <w:bookmarkEnd w:id="6"/>
      <w:r w:rsidRPr="002E6E11">
        <w:rPr>
          <w:rFonts w:cs="B Nazanin"/>
          <w:rtl/>
        </w:rPr>
        <w:t xml:space="preserve"> زبان و ادب</w:t>
      </w:r>
      <w:r w:rsidRPr="002E6E11">
        <w:rPr>
          <w:rFonts w:cs="B Nazanin" w:hint="cs"/>
          <w:rtl/>
        </w:rPr>
        <w:t>ی</w:t>
      </w:r>
      <w:r w:rsidRPr="002E6E11">
        <w:rPr>
          <w:rFonts w:cs="B Nazanin" w:hint="eastAsia"/>
          <w:rtl/>
        </w:rPr>
        <w:t>ات</w:t>
      </w:r>
      <w:r w:rsidRPr="002E6E11">
        <w:rPr>
          <w:rFonts w:cs="B Nazanin"/>
          <w:rtl/>
        </w:rPr>
        <w:t xml:space="preserve"> عرب، دانشگاه کاشان، کاشان، ا</w:t>
      </w:r>
      <w:r w:rsidRPr="002E6E11">
        <w:rPr>
          <w:rFonts w:cs="B Nazanin" w:hint="cs"/>
          <w:rtl/>
        </w:rPr>
        <w:t>ی</w:t>
      </w:r>
      <w:r w:rsidRPr="002E6E11">
        <w:rPr>
          <w:rFonts w:cs="B Nazanin" w:hint="eastAsia"/>
          <w:rtl/>
        </w:rPr>
        <w:t>ران</w:t>
      </w:r>
      <w:r w:rsidRPr="002E6E11">
        <w:rPr>
          <w:rFonts w:cs="B Nazanin"/>
        </w:rPr>
        <w:t>.</w:t>
      </w:r>
    </w:p>
    <w:p w14:paraId="6D4C18AF" w14:textId="2581596A" w:rsidR="002E6E11" w:rsidRDefault="002E6E11" w:rsidP="002E6E11">
      <w:pPr>
        <w:pStyle w:val="FootnoteText"/>
        <w:bidi/>
        <w:jc w:val="both"/>
        <w:rPr>
          <w:rFonts w:hint="cs"/>
          <w:rtl/>
          <w:lang w:bidi="fa-IR"/>
        </w:rPr>
      </w:pPr>
      <w:r w:rsidRPr="002E6E11">
        <w:rPr>
          <w:rFonts w:cs="B Nazanin" w:hint="eastAsia"/>
          <w:rtl/>
        </w:rPr>
        <w:t>عل</w:t>
      </w:r>
      <w:r w:rsidRPr="002E6E11">
        <w:rPr>
          <w:rFonts w:cs="B Nazanin" w:hint="cs"/>
          <w:rtl/>
        </w:rPr>
        <w:t>ی</w:t>
      </w:r>
      <w:r w:rsidRPr="002E6E11">
        <w:rPr>
          <w:rFonts w:cs="B Nazanin"/>
          <w:rtl/>
        </w:rPr>
        <w:t xml:space="preserve"> نجف</w:t>
      </w:r>
      <w:r w:rsidRPr="002E6E11">
        <w:rPr>
          <w:rFonts w:cs="B Nazanin" w:hint="cs"/>
          <w:rtl/>
        </w:rPr>
        <w:t>ی</w:t>
      </w:r>
      <w:r w:rsidRPr="002E6E11">
        <w:rPr>
          <w:rFonts w:cs="B Nazanin"/>
          <w:rtl/>
        </w:rPr>
        <w:t xml:space="preserve"> ا</w:t>
      </w:r>
      <w:r w:rsidRPr="002E6E11">
        <w:rPr>
          <w:rFonts w:cs="B Nazanin" w:hint="cs"/>
          <w:rtl/>
        </w:rPr>
        <w:t>ی</w:t>
      </w:r>
      <w:r w:rsidRPr="002E6E11">
        <w:rPr>
          <w:rFonts w:cs="B Nazanin" w:hint="eastAsia"/>
          <w:rtl/>
        </w:rPr>
        <w:t>وک</w:t>
      </w:r>
      <w:r w:rsidRPr="002E6E11">
        <w:rPr>
          <w:rFonts w:cs="B Nazanin" w:hint="cs"/>
          <w:rtl/>
        </w:rPr>
        <w:t>ی</w:t>
      </w:r>
      <w:r w:rsidRPr="002E6E11">
        <w:rPr>
          <w:rFonts w:cs="B Nazanin" w:hint="eastAsia"/>
          <w:rtl/>
        </w:rPr>
        <w:t>،</w:t>
      </w:r>
      <w:r w:rsidRPr="002E6E11">
        <w:rPr>
          <w:rFonts w:cs="B Nazanin"/>
          <w:rtl/>
        </w:rPr>
        <w:t xml:space="preserve"> دانش</w:t>
      </w:r>
      <w:r w:rsidRPr="002E6E11">
        <w:rPr>
          <w:rFonts w:cs="B Nazanin" w:hint="cs"/>
          <w:rtl/>
        </w:rPr>
        <w:t>ی</w:t>
      </w:r>
      <w:r w:rsidRPr="002E6E11">
        <w:rPr>
          <w:rFonts w:cs="B Nazanin" w:hint="eastAsia"/>
          <w:rtl/>
        </w:rPr>
        <w:t>ار</w:t>
      </w:r>
      <w:r w:rsidRPr="002E6E11">
        <w:rPr>
          <w:rFonts w:cs="B Nazanin"/>
          <w:rtl/>
        </w:rPr>
        <w:t xml:space="preserve"> زبان و ادب</w:t>
      </w:r>
      <w:r w:rsidRPr="002E6E11">
        <w:rPr>
          <w:rFonts w:cs="B Nazanin" w:hint="cs"/>
          <w:rtl/>
        </w:rPr>
        <w:t>ی</w:t>
      </w:r>
      <w:r w:rsidRPr="002E6E11">
        <w:rPr>
          <w:rFonts w:cs="B Nazanin" w:hint="eastAsia"/>
          <w:rtl/>
        </w:rPr>
        <w:t>ات</w:t>
      </w:r>
      <w:r w:rsidRPr="002E6E11">
        <w:rPr>
          <w:rFonts w:cs="B Nazanin"/>
          <w:rtl/>
        </w:rPr>
        <w:t xml:space="preserve"> عرب، دانشگاه کاشان، کاشان، ا</w:t>
      </w:r>
      <w:r w:rsidRPr="002E6E11">
        <w:rPr>
          <w:rFonts w:cs="B Nazanin" w:hint="cs"/>
          <w:rtl/>
        </w:rPr>
        <w:t>ی</w:t>
      </w:r>
      <w:r w:rsidRPr="002E6E11">
        <w:rPr>
          <w:rFonts w:cs="B Nazanin" w:hint="eastAsia"/>
          <w:rtl/>
        </w:rPr>
        <w:t>ران</w:t>
      </w:r>
      <w:r w:rsidRPr="002E6E11">
        <w:rPr>
          <w:rFonts w:cs="B Nazanin"/>
          <w:rt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AC"/>
    <w:rsid w:val="00033649"/>
    <w:rsid w:val="000C25A0"/>
    <w:rsid w:val="001C0F76"/>
    <w:rsid w:val="00264147"/>
    <w:rsid w:val="00281A37"/>
    <w:rsid w:val="002E6E11"/>
    <w:rsid w:val="00360855"/>
    <w:rsid w:val="00372071"/>
    <w:rsid w:val="003D4DB5"/>
    <w:rsid w:val="004F69BA"/>
    <w:rsid w:val="00531B40"/>
    <w:rsid w:val="00622725"/>
    <w:rsid w:val="00662F38"/>
    <w:rsid w:val="0073186C"/>
    <w:rsid w:val="007B0634"/>
    <w:rsid w:val="00825C6F"/>
    <w:rsid w:val="0086556E"/>
    <w:rsid w:val="009308A3"/>
    <w:rsid w:val="009F76D0"/>
    <w:rsid w:val="00A9675D"/>
    <w:rsid w:val="00AF0F7D"/>
    <w:rsid w:val="00AF7789"/>
    <w:rsid w:val="00B273C1"/>
    <w:rsid w:val="00B56B94"/>
    <w:rsid w:val="00BC2E67"/>
    <w:rsid w:val="00C0178A"/>
    <w:rsid w:val="00C152A6"/>
    <w:rsid w:val="00CC55E0"/>
    <w:rsid w:val="00D406EA"/>
    <w:rsid w:val="00D40D4D"/>
    <w:rsid w:val="00D65BBC"/>
    <w:rsid w:val="00F23EAC"/>
    <w:rsid w:val="00F478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44DCA"/>
  <w15:chartTrackingRefBased/>
  <w15:docId w15:val="{E83256DE-05F2-4DC5-BFB3-73AD9F8C7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E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3E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3E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3E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3E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3E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E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E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E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E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3E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3E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3E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3E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3E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E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E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EAC"/>
    <w:rPr>
      <w:rFonts w:eastAsiaTheme="majorEastAsia" w:cstheme="majorBidi"/>
      <w:color w:val="272727" w:themeColor="text1" w:themeTint="D8"/>
    </w:rPr>
  </w:style>
  <w:style w:type="paragraph" w:styleId="Title">
    <w:name w:val="Title"/>
    <w:basedOn w:val="Normal"/>
    <w:next w:val="Normal"/>
    <w:link w:val="TitleChar"/>
    <w:uiPriority w:val="10"/>
    <w:qFormat/>
    <w:rsid w:val="00F23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E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E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EAC"/>
    <w:pPr>
      <w:spacing w:before="160"/>
      <w:jc w:val="center"/>
    </w:pPr>
    <w:rPr>
      <w:i/>
      <w:iCs/>
      <w:color w:val="404040" w:themeColor="text1" w:themeTint="BF"/>
    </w:rPr>
  </w:style>
  <w:style w:type="character" w:customStyle="1" w:styleId="QuoteChar">
    <w:name w:val="Quote Char"/>
    <w:basedOn w:val="DefaultParagraphFont"/>
    <w:link w:val="Quote"/>
    <w:uiPriority w:val="29"/>
    <w:rsid w:val="00F23EAC"/>
    <w:rPr>
      <w:i/>
      <w:iCs/>
      <w:color w:val="404040" w:themeColor="text1" w:themeTint="BF"/>
    </w:rPr>
  </w:style>
  <w:style w:type="paragraph" w:styleId="ListParagraph">
    <w:name w:val="List Paragraph"/>
    <w:basedOn w:val="Normal"/>
    <w:uiPriority w:val="34"/>
    <w:qFormat/>
    <w:rsid w:val="00F23EAC"/>
    <w:pPr>
      <w:ind w:left="720"/>
      <w:contextualSpacing/>
    </w:pPr>
  </w:style>
  <w:style w:type="character" w:styleId="IntenseEmphasis">
    <w:name w:val="Intense Emphasis"/>
    <w:basedOn w:val="DefaultParagraphFont"/>
    <w:uiPriority w:val="21"/>
    <w:qFormat/>
    <w:rsid w:val="00F23EAC"/>
    <w:rPr>
      <w:i/>
      <w:iCs/>
      <w:color w:val="2F5496" w:themeColor="accent1" w:themeShade="BF"/>
    </w:rPr>
  </w:style>
  <w:style w:type="paragraph" w:styleId="IntenseQuote">
    <w:name w:val="Intense Quote"/>
    <w:basedOn w:val="Normal"/>
    <w:next w:val="Normal"/>
    <w:link w:val="IntenseQuoteChar"/>
    <w:uiPriority w:val="30"/>
    <w:qFormat/>
    <w:rsid w:val="00F23E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3EAC"/>
    <w:rPr>
      <w:i/>
      <w:iCs/>
      <w:color w:val="2F5496" w:themeColor="accent1" w:themeShade="BF"/>
    </w:rPr>
  </w:style>
  <w:style w:type="character" w:styleId="IntenseReference">
    <w:name w:val="Intense Reference"/>
    <w:basedOn w:val="DefaultParagraphFont"/>
    <w:uiPriority w:val="32"/>
    <w:qFormat/>
    <w:rsid w:val="00F23EAC"/>
    <w:rPr>
      <w:b/>
      <w:bCs/>
      <w:smallCaps/>
      <w:color w:val="2F5496" w:themeColor="accent1" w:themeShade="BF"/>
      <w:spacing w:val="5"/>
    </w:rPr>
  </w:style>
  <w:style w:type="table" w:styleId="TableGrid">
    <w:name w:val="Table Grid"/>
    <w:basedOn w:val="TableNormal"/>
    <w:uiPriority w:val="39"/>
    <w:rsid w:val="00825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Normal"/>
    <w:rsid w:val="007B063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B0634"/>
    <w:rPr>
      <w:b/>
      <w:bCs/>
    </w:rPr>
  </w:style>
  <w:style w:type="character" w:styleId="Emphasis">
    <w:name w:val="Emphasis"/>
    <w:basedOn w:val="DefaultParagraphFont"/>
    <w:uiPriority w:val="20"/>
    <w:qFormat/>
    <w:rsid w:val="007B0634"/>
    <w:rPr>
      <w:i/>
      <w:iCs/>
    </w:rPr>
  </w:style>
  <w:style w:type="paragraph" w:styleId="FootnoteText">
    <w:name w:val="footnote text"/>
    <w:basedOn w:val="Normal"/>
    <w:link w:val="FootnoteTextChar"/>
    <w:uiPriority w:val="99"/>
    <w:unhideWhenUsed/>
    <w:rsid w:val="00CC55E0"/>
    <w:pPr>
      <w:spacing w:after="0" w:line="240" w:lineRule="auto"/>
    </w:pPr>
    <w:rPr>
      <w:sz w:val="20"/>
      <w:szCs w:val="20"/>
    </w:rPr>
  </w:style>
  <w:style w:type="character" w:customStyle="1" w:styleId="FootnoteTextChar">
    <w:name w:val="Footnote Text Char"/>
    <w:basedOn w:val="DefaultParagraphFont"/>
    <w:link w:val="FootnoteText"/>
    <w:uiPriority w:val="99"/>
    <w:rsid w:val="00CC55E0"/>
    <w:rPr>
      <w:sz w:val="20"/>
      <w:szCs w:val="20"/>
    </w:rPr>
  </w:style>
  <w:style w:type="character" w:styleId="FootnoteReference">
    <w:name w:val="footnote reference"/>
    <w:basedOn w:val="DefaultParagraphFont"/>
    <w:uiPriority w:val="99"/>
    <w:semiHidden/>
    <w:unhideWhenUsed/>
    <w:rsid w:val="00CC55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7E174-D14B-47B9-882F-8BCC0BC4D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7161</Words>
  <Characters>40822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milad</cp:lastModifiedBy>
  <cp:revision>2</cp:revision>
  <dcterms:created xsi:type="dcterms:W3CDTF">2025-10-09T15:37:00Z</dcterms:created>
  <dcterms:modified xsi:type="dcterms:W3CDTF">2025-10-09T15:37:00Z</dcterms:modified>
</cp:coreProperties>
</file>